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UIAO</w:t>
      </w:r>
      <w:r>
        <w:t xml:space="preserve"> </w:t>
      </w:r>
      <w:r>
        <w:t xml:space="preserve">Management</w:t>
      </w:r>
      <w:r>
        <w:t xml:space="preserve"> </w:t>
      </w:r>
      <w:r>
        <w:t xml:space="preserve">Stack</w:t>
      </w:r>
    </w:p>
    <w:bookmarkStart w:id="22" w:name="uiao-management-stack"/>
    <w:p>
      <w:pPr>
        <w:pStyle w:val="Heading1"/>
      </w:pPr>
      <w:r>
        <w:t xml:space="preserve">UIAO Management Stack</w:t>
      </w:r>
    </w:p>
    <w:p>
      <w:pPr>
        <w:pStyle w:val="FirstParagraph"/>
      </w:pPr>
      <w:r>
        <w:rPr>
          <w:bCs/>
          <w:b/>
        </w:rPr>
        <w:t xml:space="preserve">Version 1.0</w:t>
      </w:r>
    </w:p>
    <w:p>
      <w:r>
        <w:pict>
          <v:rect style="width:0;height:1.5pt" o:hralign="center" o:hrstd="t" o:hr="t"/>
        </w:pict>
      </w:r>
    </w:p>
    <w:bookmarkStart w:id="20" w:name="overview"/>
    <w:p>
      <w:pPr>
        <w:pStyle w:val="Heading2"/>
      </w:pPr>
      <w:r>
        <w:t xml:space="preserve">1. Overview</w:t>
      </w:r>
    </w:p>
    <w:p>
      <w:pPr>
        <w:pStyle w:val="FirstParagraph"/>
      </w:pPr>
      <w:r>
        <w:t xml:space="preserve">The UIAO Management Stack defines the FedRAMP-authorized platforms that provide incident lifecycle management, endpoint configuration enforcement, and continuous authorization support. These platforms operate alongside the core UIAO vendor stack (Cisco, Infoblox, Microsoft Identity) to deliver a complete operational management capability.</w:t>
      </w:r>
    </w:p>
    <w:p>
      <w:pPr>
        <w:pStyle w:val="BodyText"/>
      </w:pPr>
      <w:r>
        <w:t xml:space="preserve">The following diagram shows how the management stack integrates with the broader UIAO architecture through the telemetry and identity planes.</w:t>
      </w:r>
    </w:p>
    <w:p>
      <w:pPr>
        <w:pStyle w:val="BodyText"/>
      </w:pP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0"/>
    <w:bookmarkStart w:id="21" w:name="vendor-logic-processing"/>
    <w:p>
      <w:pPr>
        <w:pStyle w:val="Heading2"/>
      </w:pPr>
      <w:r>
        <w:t xml:space="preserve">4. Vendor Logic Processing</w:t>
      </w:r>
    </w:p>
    <w:p>
      <w:pPr>
        <w:pStyle w:val="FirstParagraph"/>
      </w:pPr>
      <w:r>
        <w:t xml:space="preserve">The following diagram illustrates how the UIAO data layer processes management stack configurations through the Jinja2 rendering pipeline to produce vendor-specific outputs.</w:t>
      </w:r>
    </w:p>
    <w:p>
      <w:pPr>
        <w:pStyle w:val="BodyText"/>
      </w:pP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from UIAO data layer — Management Stack v1.0</w:t>
      </w:r>
    </w:p>
    <w:bookmarkEnd w:id="21"/>
    <w:bookmarkEnd w:id="2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UIAO Management Stack</dc:title>
  <dc:creator/>
  <cp:keywords/>
  <dcterms:created xsi:type="dcterms:W3CDTF">2026-04-05T21:41:52Z</dcterms:created>
  <dcterms:modified xsi:type="dcterms:W3CDTF">2026-04-05T21:41:52Z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">
    <vt:lpwstr>CUI/FOUO</vt:lpwstr>
  </property>
  <property fmtid="{D5CDD505-2E9C-101B-9397-08002B2CF9AE}" pid="3" name="version">
    <vt:lpwstr>1.0</vt:lpwstr>
  </property>
</Properties>
</file>