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Vendor</w:t>
      </w:r>
      <w:r>
        <w:t xml:space="preserve"> </w:t>
      </w:r>
      <w:r>
        <w:t xml:space="preserve">Stack</w:t>
      </w:r>
      <w:r>
        <w:t xml:space="preserve"> </w:t>
      </w:r>
      <w:r>
        <w:t xml:space="preserve">V1.0</w:t>
      </w:r>
    </w:p>
    <w:p>
      <w:pPr>
        <w:pStyle w:val="Author"/>
      </w:pPr>
      <w:r>
        <w:t xml:space="preserve">UIAO</w:t>
      </w:r>
      <w:r>
        <w:t xml:space="preserve"> </w:t>
      </w:r>
      <w:r>
        <w:t xml:space="preserve">Modernization</w:t>
      </w:r>
      <w:r>
        <w:t xml:space="preserve"> </w:t>
      </w:r>
      <w:r>
        <w:t xml:space="preserve">Program</w:t>
      </w:r>
    </w:p>
    <w:p>
      <w:pPr>
        <w:pStyle w:val="Date"/>
      </w:pPr>
      <w:r>
        <w:t xml:space="preserve">today</w:t>
      </w:r>
    </w:p>
    <w:bookmarkStart w:id="26" w:name="Xc2d4b1872227839a4879ca90fb3df34596e6b10"/>
    <w:p>
      <w:pPr>
        <w:pStyle w:val="Heading1"/>
      </w:pPr>
      <w:r>
        <w:t xml:space="preserve">UIAO Vendor Technology Stack and Compliance Registry</w:t>
      </w:r>
    </w:p>
    <w:p>
      <w:pPr>
        <w:pStyle w:val="FirstParagraph"/>
      </w:pPr>
      <w:r>
        <w:rPr>
          <w:bCs/>
          <w:b/>
        </w:rPr>
        <w:t xml:space="preserve">Classification:</w:t>
      </w:r>
      <w:r>
        <w:t xml:space="preserve"> </w:t>
      </w:r>
      <w:r>
        <w:t xml:space="preserve">CUI/FOUO</w:t>
      </w:r>
      <w:r>
        <w:br/>
      </w:r>
      <w:r>
        <w:rPr>
          <w:bCs/>
          <w:b/>
        </w:rPr>
        <w:t xml:space="preserve">Version:</w:t>
      </w:r>
      <w:r>
        <w:t xml:space="preserve"> </w:t>
      </w:r>
      <w:r>
        <w:t xml:space="preserve">1.0</w:t>
      </w:r>
      <w:r>
        <w:br/>
      </w:r>
      <w:r>
        <w:rPr>
          <w:bCs/>
          <w:b/>
        </w:rPr>
        <w:t xml:space="preserve">Generated:</w:t>
      </w:r>
      <w:r>
        <w:t xml:space="preserve"> </w:t>
      </w:r>
      <w:r>
        <w:t xml:space="preserve">Auto-compiled from</w:t>
      </w:r>
      <w:r>
        <w:t xml:space="preserve"> </w:t>
      </w:r>
      <w:r>
        <w:rPr>
          <w:rStyle w:val="VerbatimChar"/>
        </w:rPr>
        <w:t xml:space="preserve">data/vendor-stack.yml</w:t>
      </w:r>
    </w:p>
    <w:p>
      <w:r>
        <w:pict>
          <v:rect style="width:0;height:1.5pt" o:hralign="center" o:hrstd="t" o:hr="t"/>
        </w:pict>
      </w:r>
    </w:p>
    <w:bookmarkStart w:id="20" w:name="purpose"/>
    <w:p>
      <w:pPr>
        <w:pStyle w:val="Heading2"/>
      </w:pPr>
      <w:r>
        <w:t xml:space="preserve">1. Purpose</w:t>
      </w:r>
    </w:p>
    <w:p>
      <w:pPr>
        <w:pStyle w:val="FirstParagraph"/>
      </w:pPr>
      <w:r>
        <w:t xml:space="preserve">This document provides a comprehensive registry of the core technology vendors that comprise the UIAO architecture. It serves three critical functions within the Documentation-as-Code pipeline: it tracks each vendor’s FedRAMP authorization status, maps vendor capabilities to NIST 800-53 Rev 5 controls, and monitors compliance with active CISA directives including Binding Operational Directives and Emergency Directives.</w:t>
      </w:r>
    </w:p>
    <w:p>
      <w:pPr>
        <w:pStyle w:val="BodyText"/>
      </w:pPr>
      <w:r>
        <w:t xml:space="preserve">Unlike traditional vendor documentation maintained in static Word files or spreadsheets, this registry is machine-generated from structured YAML data stored in the repository. When a vendor releases a critical patch, updates its FedRAMP certification, or when CISA issues a new directive, a single update to</w:t>
      </w:r>
      <w:r>
        <w:t xml:space="preserve"> </w:t>
      </w:r>
      <w:r>
        <w:rPr>
          <w:rStyle w:val="VerbatimChar"/>
        </w:rPr>
        <w:t xml:space="preserve">data/vendor-stack.yml</w:t>
      </w:r>
      <w:r>
        <w:t xml:space="preserve"> </w:t>
      </w:r>
      <w:r>
        <w:t xml:space="preserve">automatically regenerates this document, the FedRAMP Crosswalk, and all downstream compliance artifacts.</w:t>
      </w:r>
    </w:p>
    <w:p>
      <w:r>
        <w:pict>
          <v:rect style="width:0;height:1.5pt" o:hralign="center" o:hrstd="t" o:hr="t"/>
        </w:pict>
      </w:r>
    </w:p>
    <w:bookmarkEnd w:id="20"/>
    <w:bookmarkStart w:id="21" w:name="how-this-document-works"/>
    <w:p>
      <w:pPr>
        <w:pStyle w:val="Heading2"/>
      </w:pPr>
      <w:r>
        <w:t xml:space="preserve">2. How This Document Works</w:t>
      </w:r>
    </w:p>
    <w:p>
      <w:pPr>
        <w:pStyle w:val="FirstParagraph"/>
      </w:pPr>
      <w:r>
        <w:t xml:space="preserve">The vendor stack document is produced through the UIAO Document Compiler pipeline, which operates as follows: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Data Layer:</w:t>
      </w:r>
      <w:r>
        <w:t xml:space="preserve"> </w:t>
      </w:r>
      <w:r>
        <w:t xml:space="preserve">The structured vendor data resides in</w:t>
      </w:r>
      <w:r>
        <w:t xml:space="preserve"> </w:t>
      </w:r>
      <w:r>
        <w:rPr>
          <w:rStyle w:val="VerbatimChar"/>
        </w:rPr>
        <w:t xml:space="preserve">data/vendor-stack.yml</w:t>
      </w:r>
      <w:r>
        <w:t xml:space="preserve">. Each vendor entry includes its product name, UIAO pillar mapping, FedRAMP certification class, required software versions, applicable NIST controls, KSI category mapping, and any active CISA directive compliance notes.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Template Layer:</w:t>
      </w:r>
      <w:r>
        <w:t xml:space="preserve"> </w:t>
      </w:r>
      <w:r>
        <w:t xml:space="preserve">This Jinja2 template (</w:t>
      </w:r>
      <w:r>
        <w:rPr>
          <w:rStyle w:val="VerbatimChar"/>
        </w:rPr>
        <w:t xml:space="preserve">templates/vendor_stack_v1.0.md.j2</w:t>
      </w:r>
      <w:r>
        <w:t xml:space="preserve">) defines the narrative structure and formatting. It uses Jinja2 loops and conditionals to iterate over the vendor entries and render them into readable Markdown.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Generation Engine: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scripts/generate_docs.py</w:t>
      </w:r>
      <w:r>
        <w:t xml:space="preserve"> </w:t>
      </w:r>
      <w:r>
        <w:t xml:space="preserve">Python script loads the canon YAML and all</w:t>
      </w:r>
      <w:r>
        <w:t xml:space="preserve"> </w:t>
      </w:r>
      <w:r>
        <w:rPr>
          <w:rStyle w:val="VerbatimChar"/>
        </w:rPr>
        <w:t xml:space="preserve">data/*.yml</w:t>
      </w:r>
      <w:r>
        <w:t xml:space="preserve"> </w:t>
      </w:r>
      <w:r>
        <w:t xml:space="preserve">files, merges them into a unified context dictionary, and passes that context to each Jinja2 template. The template engine replaces variable placeholders with actual data values.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CI/CD Pipeline:</w:t>
      </w:r>
      <w:r>
        <w:t xml:space="preserve"> </w:t>
      </w:r>
      <w:r>
        <w:t xml:space="preserve">On every push to the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branch, a GitHub Actions workflow (</w:t>
      </w:r>
      <w:r>
        <w:rPr>
          <w:rStyle w:val="VerbatimChar"/>
        </w:rPr>
        <w:t xml:space="preserve">.github/workflows/docs.yml</w:t>
      </w:r>
      <w:r>
        <w:t xml:space="preserve">) triggers the generation script. The output is written to both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site/</w:t>
      </w:r>
      <w:r>
        <w:t xml:space="preserve"> </w:t>
      </w:r>
      <w:r>
        <w:t xml:space="preserve">directories, then committed back to the repository automatically.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Website Delivery:</w:t>
      </w:r>
      <w:r>
        <w:t xml:space="preserve"> </w:t>
      </w:r>
      <w:r>
        <w:t xml:space="preserve">The GitHub Pages site at</w:t>
      </w:r>
      <w:r>
        <w:t xml:space="preserve"> </w:t>
      </w:r>
      <w:r>
        <w:rPr>
          <w:rStyle w:val="VerbatimChar"/>
        </w:rPr>
        <w:t xml:space="preserve">https://whalermike.github.io/uiao-core/</w:t>
      </w:r>
      <w:r>
        <w:t xml:space="preserve"> </w:t>
      </w:r>
      <w:r>
        <w:t xml:space="preserve">reads the generated Markdown from the</w:t>
      </w:r>
      <w:r>
        <w:t xml:space="preserve"> </w:t>
      </w:r>
      <w:r>
        <w:rPr>
          <w:rStyle w:val="VerbatimChar"/>
        </w:rPr>
        <w:t xml:space="preserve">site/</w:t>
      </w:r>
      <w:r>
        <w:t xml:space="preserve"> </w:t>
      </w:r>
      <w:r>
        <w:t xml:space="preserve">directory and renders it through the USWDS-styled Document Compiler interface, where it can be viewed inline or downloaded in Markdown, Word, PDF, or HTML formats.</w:t>
      </w:r>
    </w:p>
    <w:p>
      <w:r>
        <w:pict>
          <v:rect style="width:0;height:1.5pt" o:hralign="center" o:hrstd="t" o:hr="t"/>
        </w:pict>
      </w:r>
    </w:p>
    <w:bookmarkEnd w:id="21"/>
    <w:bookmarkStart w:id="22" w:name="core-vendor-registry"/>
    <w:p>
      <w:pPr>
        <w:pStyle w:val="Heading2"/>
      </w:pPr>
      <w:r>
        <w:t xml:space="preserve">3. Core Vendor Registry</w:t>
      </w:r>
    </w:p>
    <w:p>
      <w:pPr>
        <w:pStyle w:val="FirstParagraph"/>
      </w:pPr>
      <w:r>
        <w:t xml:space="preserve">The UIAO architecture integrates five primary technology vendors, each mapped to a specific architectural pillar. Under FedRAMP 20x (2026 Consolidated Rules), all vendors are classified using the new Class-based system, where Class C corresponds to the legacy Moderate baseline.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 Pillar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external-security-baselines"/>
    <w:p>
      <w:pPr>
        <w:pStyle w:val="Heading2"/>
      </w:pPr>
      <w:r>
        <w:t xml:space="preserve">4. External Security Baselines</w:t>
      </w:r>
    </w:p>
    <w:p>
      <w:pPr>
        <w:pStyle w:val="FirstParagraph"/>
      </w:pPr>
      <w:r>
        <w:t xml:space="preserve">The UIAO architecture integrates with CISA’s Secure Cloud Business Applications (SCuBA) project to provide automated compliance validation and continuous reporting as required by BOD 25-01.</w:t>
      </w:r>
    </w:p>
    <w:p>
      <w:r>
        <w:pict>
          <v:rect style="width:0;height:1.5pt" o:hralign="center" o:hrstd="t" o:hr="t"/>
        </w:pict>
      </w:r>
    </w:p>
    <w:bookmarkEnd w:id="23"/>
    <w:bookmarkStart w:id="24" w:name="active-cisa-directives"/>
    <w:p>
      <w:pPr>
        <w:pStyle w:val="Heading2"/>
      </w:pPr>
      <w:r>
        <w:t xml:space="preserve">5. Active CISA Directives</w:t>
      </w:r>
    </w:p>
    <w:p>
      <w:pPr>
        <w:pStyle w:val="FirstParagraph"/>
      </w:pPr>
      <w:r>
        <w:t xml:space="preserve">The following Binding Operational Directives (BODs) and Emergency Directives (EDs) are actively tracked in this repository. Compliance status is updated in</w:t>
      </w:r>
      <w:r>
        <w:t xml:space="preserve"> </w:t>
      </w:r>
      <w:r>
        <w:rPr>
          <w:rStyle w:val="VerbatimChar"/>
        </w:rPr>
        <w:t xml:space="preserve">data/vendor-stack.yml</w:t>
      </w:r>
      <w:r>
        <w:t xml:space="preserve"> </w:t>
      </w:r>
      <w:r>
        <w:t xml:space="preserve">and reflected automatically in all generated documents.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Directive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Affected Vendor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maintaining-this-document"/>
    <w:p>
      <w:pPr>
        <w:pStyle w:val="Heading2"/>
      </w:pPr>
      <w:r>
        <w:t xml:space="preserve">6. Maintaining This Document</w:t>
      </w:r>
    </w:p>
    <w:p>
      <w:pPr>
        <w:pStyle w:val="FirstParagraph"/>
      </w:pPr>
      <w:r>
        <w:t xml:space="preserve">This document is automatically regenerated whenever changes are pushed to the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branch. To update vendor information:</w:t>
      </w:r>
    </w:p>
    <w:p>
      <w:pPr>
        <w:numPr>
          <w:ilvl w:val="0"/>
          <w:numId w:val="1002"/>
        </w:numPr>
        <w:pStyle w:val="Compact"/>
      </w:pPr>
      <w:r>
        <w:t xml:space="preserve">Edit</w:t>
      </w:r>
      <w:r>
        <w:t xml:space="preserve"> </w:t>
      </w:r>
      <w:r>
        <w:rPr>
          <w:rStyle w:val="VerbatimChar"/>
        </w:rPr>
        <w:t xml:space="preserve">data/vendor-stack.yml</w:t>
      </w:r>
      <w:r>
        <w:t xml:space="preserve"> </w:t>
      </w:r>
      <w:r>
        <w:t xml:space="preserve">with the new vendor version, directive status, or certification update.</w:t>
      </w:r>
    </w:p>
    <w:p>
      <w:pPr>
        <w:numPr>
          <w:ilvl w:val="0"/>
          <w:numId w:val="1002"/>
        </w:numPr>
        <w:pStyle w:val="Compact"/>
      </w:pPr>
      <w:r>
        <w:t xml:space="preserve">Commit and push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The GitHub Actions workflow will regenerate all documents, including this one.</w:t>
      </w:r>
    </w:p>
    <w:p>
      <w:pPr>
        <w:numPr>
          <w:ilvl w:val="0"/>
          <w:numId w:val="1002"/>
        </w:numPr>
        <w:pStyle w:val="Compact"/>
      </w:pPr>
      <w:r>
        <w:t xml:space="preserve">The updated document will appear on the UIAO-Core website within minutes.</w:t>
      </w:r>
    </w:p>
    <w:p>
      <w:pPr>
        <w:pStyle w:val="FirstParagraph"/>
      </w:pPr>
      <w:r>
        <w:t xml:space="preserve">This approach ensures that the vendor compliance registry is never stale, always version-controlled, and permanently auditable through Git history.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Vendor Stack V1.0</dc:title>
  <dc:creator>UIAO Modernization Program</dc:creator>
  <cp:keywords/>
  <dcterms:created xsi:type="dcterms:W3CDTF">2026-04-05T21:41:53Z</dcterms:created>
  <dcterms:modified xsi:type="dcterms:W3CDTF">2026-04-05T21:41:53Z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today</vt:lpwstr>
  </property>
  <property fmtid="{D5CDD505-2E9C-101B-9397-08002B2CF9AE}" pid="3" name="date-format">
    <vt:lpwstr>MMMM D, YYYY</vt:lpwstr>
  </property>
  <property fmtid="{D5CDD505-2E9C-101B-9397-08002B2CF9AE}" pid="4" name="format">
    <vt:lpwstr/>
  </property>
</Properties>
</file>