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ppendix-canon-library"/>
    <w:p>
      <w:pPr>
        <w:pStyle w:val="Heading1"/>
      </w:pPr>
      <w:r>
        <w:t xml:space="preserve">Appendix Canon Library</w:t>
      </w:r>
    </w:p>
    <w:p>
      <w:pPr>
        <w:pStyle w:val="FirstParagraph"/>
      </w:pPr>
      <w:r>
        <w:t xml:space="preserve">This library contains the 104 standardized technical and operational patterns (A-CZ) used across the Modernization Atlas.</w:t>
      </w:r>
    </w:p>
    <w:bookmarkStart w:id="20" w:name="library-overview"/>
    <w:p>
      <w:pPr>
        <w:pStyle w:val="Heading2"/>
      </w:pPr>
      <w:r>
        <w:t xml:space="preserve">Library Overview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subgraph "Data Source: appendices.yml"</w:t>
      </w:r>
      <w:r>
        <w:br/>
      </w:r>
      <w:r>
        <w:rPr>
          <w:rStyle w:val="VerbatimChar"/>
        </w:rPr>
        <w:t xml:space="preserve">    A[Group A-Z: Core Standards]</w:t>
      </w:r>
      <w:r>
        <w:br/>
      </w:r>
      <w:r>
        <w:rPr>
          <w:rStyle w:val="VerbatimChar"/>
        </w:rPr>
        <w:t xml:space="preserve">    B[Group AA-AZ: Network Patterns]</w:t>
      </w:r>
      <w:r>
        <w:br/>
      </w:r>
      <w:r>
        <w:rPr>
          <w:rStyle w:val="VerbatimChar"/>
        </w:rPr>
        <w:t xml:space="preserve">    C[Group BA-BZ: Security Protocols]</w:t>
      </w:r>
      <w:r>
        <w:br/>
      </w:r>
      <w:r>
        <w:rPr>
          <w:rStyle w:val="VerbatimChar"/>
        </w:rPr>
        <w:t xml:space="preserve">    D[Group CA-CZ: Operational Procedures]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"Processing: generate.py"</w:t>
      </w:r>
      <w:r>
        <w:br/>
      </w:r>
      <w:r>
        <w:rPr>
          <w:rStyle w:val="VerbatimChar"/>
        </w:rPr>
        <w:t xml:space="preserve">    Logic{Jinja2 Renderer}</w:t>
      </w:r>
      <w:r>
        <w:br/>
      </w:r>
      <w:r>
        <w:rPr>
          <w:rStyle w:val="VerbatimChar"/>
        </w:rPr>
        <w:t xml:space="preserve">    Logic --&gt;|Lookup ID| A</w:t>
      </w:r>
      <w:r>
        <w:br/>
      </w:r>
      <w:r>
        <w:rPr>
          <w:rStyle w:val="VerbatimChar"/>
        </w:rPr>
        <w:t xml:space="preserve">    Logic --&gt;|Lookup ID| B</w:t>
      </w:r>
      <w:r>
        <w:br/>
      </w:r>
      <w:r>
        <w:rPr>
          <w:rStyle w:val="VerbatimChar"/>
        </w:rPr>
        <w:t xml:space="preserve">    Logic --&gt;|Lookup ID| C</w:t>
      </w:r>
      <w:r>
        <w:br/>
      </w:r>
      <w:r>
        <w:rPr>
          <w:rStyle w:val="VerbatimChar"/>
        </w:rPr>
        <w:t xml:space="preserve">    Logic --&gt;|Lookup ID| D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"Output: site/ Documentation"</w:t>
      </w:r>
      <w:r>
        <w:br/>
      </w:r>
      <w:r>
        <w:rPr>
          <w:rStyle w:val="VerbatimChar"/>
        </w:rPr>
        <w:t xml:space="preserve">    Doc1[Appendix A: Global Naming]</w:t>
      </w:r>
      <w:r>
        <w:br/>
      </w:r>
      <w:r>
        <w:rPr>
          <w:rStyle w:val="VerbatimChar"/>
        </w:rPr>
        <w:t xml:space="preserve">    Doc2[Appendix AZ: SD-WAN Edge]</w:t>
      </w:r>
      <w:r>
        <w:br/>
      </w:r>
      <w:r>
        <w:rPr>
          <w:rStyle w:val="VerbatimChar"/>
        </w:rPr>
        <w:t xml:space="preserve">    Doc3[Appendix CZ: Decommissioning]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Logic --&gt; Doc1</w:t>
      </w:r>
      <w:r>
        <w:br/>
      </w:r>
      <w:r>
        <w:rPr>
          <w:rStyle w:val="VerbatimChar"/>
        </w:rPr>
        <w:t xml:space="preserve">  Logic --&gt; Doc2</w:t>
      </w:r>
      <w:r>
        <w:br/>
      </w:r>
      <w:r>
        <w:rPr>
          <w:rStyle w:val="VerbatimChar"/>
        </w:rPr>
        <w:t xml:space="preserve">  Logic --&gt; Doc3</w:t>
      </w:r>
      <w:r>
        <w:br/>
      </w:r>
      <w:r>
        <w:rPr>
          <w:rStyle w:val="VerbatimChar"/>
        </w:rPr>
        <w:t xml:space="preserve">  style Logic fill:#f9f,stroke:#333,stroke-width:2px</w:t>
      </w:r>
      <w:r>
        <w:br/>
      </w:r>
      <w:r>
        <w:rPr>
          <w:rStyle w:val="VerbatimChar"/>
        </w:rPr>
        <w:t xml:space="preserve">  style A,B,C,D fill:#e1f5fe,stroke:#01579b</w:t>
      </w:r>
    </w:p>
    <w:bookmarkEnd w:id="20"/>
    <w:bookmarkStart w:id="26" w:name="table-of-contents"/>
    <w:p>
      <w:pPr>
        <w:pStyle w:val="Heading2"/>
      </w:pPr>
      <w:r>
        <w:t xml:space="preserve">Table of Contents</w:t>
      </w:r>
    </w:p>
    <w:bookmarkStart w:id="21" w:name="core-standards-a-z"/>
    <w:p>
      <w:pPr>
        <w:pStyle w:val="Heading3"/>
      </w:pPr>
      <w:r>
        <w:t xml:space="preserve">Core Standards (A-Z)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</w:tbl>
    <w:bookmarkEnd w:id="21"/>
    <w:bookmarkStart w:id="22" w:name="network-patterns-aa-az"/>
    <w:p>
      <w:pPr>
        <w:pStyle w:val="Heading3"/>
      </w:pPr>
      <w:r>
        <w:t xml:space="preserve">Network Patterns (AA-AZ)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</w:tbl>
    <w:bookmarkEnd w:id="22"/>
    <w:bookmarkStart w:id="23" w:name="security-protocols-ba-bz"/>
    <w:p>
      <w:pPr>
        <w:pStyle w:val="Heading3"/>
      </w:pPr>
      <w:r>
        <w:t xml:space="preserve">Security Protocols (BA-BZ)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</w:tbl>
    <w:bookmarkEnd w:id="23"/>
    <w:bookmarkStart w:id="24" w:name="operational-procedures-ca-cz"/>
    <w:p>
      <w:pPr>
        <w:pStyle w:val="Heading3"/>
      </w:pPr>
      <w:r>
        <w:t xml:space="preserve">Operational Procedures (CA-CZ)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implementation-notes"/>
    <w:p>
      <w:pPr>
        <w:pStyle w:val="Heading3"/>
      </w:pPr>
      <w:r>
        <w:t xml:space="preserve">Implementation Notes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Logic Check:</w:t>
      </w:r>
      <w:r>
        <w:t xml:space="preserve"> </w:t>
      </w:r>
      <w:r>
        <w:t xml:space="preserve">The iteration logic assumes YAML keys start with the group prefix (e.g.,</w:t>
      </w:r>
      <w:r>
        <w:t xml:space="preserve"> </w:t>
      </w:r>
      <w:r>
        <w:rPr>
          <w:rStyle w:val="VerbatimChar"/>
        </w:rPr>
        <w:t xml:space="preserve">A-01</w:t>
      </w:r>
      <w:r>
        <w:t xml:space="preserve">,</w:t>
      </w:r>
      <w:r>
        <w:t xml:space="preserve"> </w:t>
      </w:r>
      <w:r>
        <w:rPr>
          <w:rStyle w:val="VerbatimChar"/>
        </w:rPr>
        <w:t xml:space="preserve">BA-02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Normalization:</w:t>
      </w:r>
      <w:r>
        <w:t xml:space="preserve"> </w:t>
      </w:r>
      <w:r>
        <w:t xml:space="preserve">Hyphen-to-underscore conversion is applied by</w:t>
      </w:r>
      <w:r>
        <w:t xml:space="preserve"> </w:t>
      </w:r>
      <w:r>
        <w:rPr>
          <w:rStyle w:val="VerbatimChar"/>
        </w:rPr>
        <w:t xml:space="preserve">generate.py</w:t>
      </w:r>
      <w:r>
        <w:t xml:space="preserve"> </w:t>
      </w:r>
      <w:r>
        <w:t xml:space="preserve">before rendering.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the UIAO-Core Pipeline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2026-03-20T16:20:23Z</dcterms:created>
  <dcterms:modified xsi:type="dcterms:W3CDTF">2026-03-20T16:20:23Z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