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Leadership</w:t>
      </w:r>
      <w:r>
        <w:t xml:space="preserve"> </w:t>
      </w:r>
      <w:r>
        <w:t xml:space="preserve">Briefing</w:t>
      </w:r>
    </w:p>
    <w:bookmarkStart w:id="20" w:name="X06fcfe5dabe78ef55c35679c727c7b97b691a86"/>
    <w:p>
      <w:pPr>
        <w:pStyle w:val="Heading1"/>
      </w:pPr>
      <w:r>
        <w:t xml:space="preserve">Unified Identity‑Addressing‑Overlay Architecture (UIAO)</w:t>
      </w:r>
    </w:p>
    <w:p>
      <w:pPr>
        <w:pStyle w:val="FirstParagraph"/>
      </w:pPr>
      <w:r>
        <w:rPr>
          <w:bCs/>
          <w:b/>
        </w:rPr>
        <w:t xml:space="preserve">Leadership Briefing — Version 1.0</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The Unified Identity-Addressing-Overlay Architecture (UIAO) establishes a modern federal enterprise built on identity, telemetry, and cloud-first routing. It replaces fragmented legacy systems with a coherent, Zero Trust-aligned architecture that treats identity as the perimeter, telemetry as the authoritative truth source, and governance as an automated workflow rather than a manual process. UIAO is not a technology refresh; it is a structural modernization of how the agency authenticates, addresses, routes, observes, and governs every digital interaction.</w:t>
      </w:r>
      <w:r>
        <w:t xml:space="preserve"> </w:t>
      </w:r>
      <w:r>
        <w:t xml:space="preserve">The agency’s current environment is constrained by TIC 2.0 hairpinning, on-premises Active Directory dependencies, fragmented IPAM, inconsistent Zero Trust enforcement, and incomplete telemetry. These limitations degrade M365 performance, increase cyber risk, and create compliance gaps with TIC 3.0, FedRAMP 22, SCuBA, and NIST 800-63. UIAO directly addresses these issues by unifying identity, addressing, routing, and telemetry into a single architectural fabric.</w:t>
      </w:r>
      <w:r>
        <w:t xml:space="preserve"> </w:t>
      </w:r>
      <w:r>
        <w:t xml:space="preserve">The vision is a cloud-optimized, identity-driven enterprise where every resource—from IP addresses to certificates to routing paths—is derived from or bound to identity. Telemetry becomes a real-time control input for routing and security decisions. Addressing becomes deterministic and policy-driven. Routing becomes cloud-first and performance-optimized. Governance becomes embedded and automated. Above all, modernization is guided by a simple principle: if a change degrades citizen experience, it does not ship.</w:t>
      </w:r>
      <w:r>
        <w:t xml:space="preserve"> </w:t>
      </w:r>
      <w:r>
        <w:t xml:space="preserve">UIAO organizes the modernized enterprise into five coordinated control planes and seven core concepts that define how the architecture operates. These planes and concepts work together to deliver conversation-level visibility, identity-aware segmentation, accurate location inference, and automated policy enforcement. The frozen state analysis reveals a legacy environment that cannot support modern mission requirements. UIAO resolves these issues by establishing a unified, authoritative, and automated architecture that improves performance, strengthens security, reduces compliance risk, and enhances citizen-facing services.</w:t>
      </w:r>
      <w:r>
        <w:t xml:space="preserve"> </w:t>
      </w:r>
      <w:r>
        <w:t xml:space="preserve">UIAO delivers measurable outcomes: reduced latency, improved M365 performance, stronger identity governance, deterministic addressing, real-time telemetry correlation, and alignment with federal modernization mandates. It provides the foundation for a resilient, scalable, and future-ready federal enterprise.</w:t>
      </w:r>
    </w:p>
    <w:p>
      <w:r>
        <w:pict>
          <v:rect style="width:0;height:1.5pt" o:hralign="center" o:hrstd="t" o:hr="t"/>
        </w:pict>
      </w:r>
    </w:p>
    <w:bookmarkEnd w:id="21"/>
    <w:bookmarkStart w:id="22" w:name="program-overview"/>
    <w:p>
      <w:pPr>
        <w:pStyle w:val="Heading1"/>
      </w:pPr>
      <w:r>
        <w:t xml:space="preserve">Program Overview</w:t>
      </w:r>
    </w:p>
    <w:p>
      <w:pPr>
        <w:pStyle w:val="FirstParagraph"/>
      </w:pPr>
      <w:r>
        <w:t xml:space="preserve">The Unified Identity-Addressing-Overlay Architecture (UIAO) is a modernization initiative designed to unify identity, addressing, routing, telemetry, and governance into a coherent, Zero Trust-aligned federal architecture. It integrates Microsoft Entra ID as the identity control plane, ICAM as the governance backbone, InfoBlox as the authoritative IPAM, Cisco SD-WAN as the routing control plane, and cloud-native telemetry and location services as the truth source for operational decisions. Together, these components form a coordinated modernization effort that replaces fragmented legacy systems with a cloud-optimized, identity-driven, telemetry-informed enterprise.</w:t>
      </w:r>
      <w:r>
        <w:t xml:space="preserve"> </w:t>
      </w:r>
      <w:r>
        <w:t xml:space="preserve">The strategic goal is to transform the agency into a modern federal network where identity is the perimeter, telemetry is the truth, routing is cloud-first, and governance is automated. UIAO provides the architectural foundation needed to meet Zero Trust expectations, TIC 3.0 requirements, and FedRAMP-aligned controls while improving mission performance and citizen experience.</w:t>
      </w:r>
    </w:p>
    <w:p>
      <w:r>
        <w:pict>
          <v:rect style="width:0;height:1.5pt" o:hralign="center" o:hrstd="t" o:hr="t"/>
        </w:pict>
      </w:r>
    </w:p>
    <w:bookmarkEnd w:id="22"/>
    <w:bookmarkStart w:id="23" w:name="why-modernization-is-required"/>
    <w:p>
      <w:pPr>
        <w:pStyle w:val="Heading1"/>
      </w:pPr>
      <w:r>
        <w:t xml:space="preserve">Why Modernization Is Required</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bookmarkEnd w:id="23"/>
    <w:bookmarkStart w:id="24" w:name="program-vision"/>
    <w:p>
      <w:pPr>
        <w:pStyle w:val="Heading1"/>
      </w:pPr>
      <w:r>
        <w:t xml:space="preserve">Program Vision</w:t>
      </w:r>
    </w:p>
    <w:p>
      <w:pPr>
        <w:pStyle w:val="FirstParagraph"/>
      </w:pPr>
      <w:r>
        <w:t xml:space="preserve">UIAO envisions a fully modernized federal network where identity, addressing, routing, and telemetry operate as a unified system. In this end state, identity becomes the root namespace for all resources, addressing becomes deterministic and policy-driven, routing becomes cloud-first and performance-optimized, and telemetry becomes a real-time control input rather than a passive reporting mechanism.</w:t>
      </w:r>
      <w:r>
        <w:t xml:space="preserve"> </w:t>
      </w:r>
      <w:r>
        <w:t xml:space="preserve">The architecture is guided by several principles. Zero Trust is the default operating model, with identity as the perimeter and continuous verification as the norm. Telemetry is treated as the authoritative truth source for routing, security, and compliance decisions. Modernization proceeds incrementally, avoiding big-bang cutovers and minimizing operational disruption. All design choices are aligned with FedRAMP, TIC 3.0, and NIST 800-63 requirements. Above all, the architecture prioritizes citizen experience: if a change degrades public service, it does not ship.</w:t>
      </w:r>
    </w:p>
    <w:p>
      <w:r>
        <w:pict>
          <v:rect style="width:0;height:1.5pt" o:hralign="center" o:hrstd="t" o:hr="t"/>
        </w:pict>
      </w:r>
    </w:p>
    <w:bookmarkEnd w:id="24"/>
    <w:bookmarkStart w:id="30" w:name="the-five-control-planes"/>
    <w:p>
      <w:pPr>
        <w:pStyle w:val="Heading1"/>
      </w:pPr>
      <w:r>
        <w:t xml:space="preserve">The Five Control Planes</w:t>
      </w:r>
    </w:p>
    <w:bookmarkStart w:id="25" w:name="identity-control-plane"/>
    <w:p>
      <w:pPr>
        <w:pStyle w:val="Heading3"/>
      </w:pPr>
      <w:r>
        <w:t xml:space="preserve">1.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5"/>
    <w:bookmarkStart w:id="26" w:name="network-control-plane"/>
    <w:p>
      <w:pPr>
        <w:pStyle w:val="Heading3"/>
      </w:pPr>
      <w:r>
        <w:t xml:space="preserve">2.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6"/>
    <w:bookmarkStart w:id="27" w:name="addressing-control-plane"/>
    <w:p>
      <w:pPr>
        <w:pStyle w:val="Heading3"/>
      </w:pPr>
      <w:r>
        <w:t xml:space="preserve">3.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7"/>
    <w:bookmarkStart w:id="28" w:name="telemetry-location-control-plane"/>
    <w:p>
      <w:pPr>
        <w:pStyle w:val="Heading3"/>
      </w:pPr>
      <w:r>
        <w:t xml:space="preserve">4.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8"/>
    <w:bookmarkStart w:id="29" w:name="security-compliance-plane"/>
    <w:p>
      <w:pPr>
        <w:pStyle w:val="Heading3"/>
      </w:pPr>
      <w:r>
        <w:t xml:space="preserve">5. Security &amp; Compliance Plane</w:t>
      </w:r>
    </w:p>
    <w:p>
      <w:pPr>
        <w:pStyle w:val="FirstParagraph"/>
      </w:pPr>
      <w:r>
        <w:t xml:space="preserve">The Security and Compliance Plane aligns the architecture with TIC 3.0, Zero Trust, FedRAMP 22, NIST 800-63, and ICAM governance. Security becomes embedded in the architecture rather than bolted on, with automated enforcement replacing manual review.</w:t>
      </w:r>
    </w:p>
    <w:p>
      <w:r>
        <w:pict>
          <v:rect style="width:0;height:1.5pt" o:hralign="center" o:hrstd="t" o:hr="t"/>
        </w:pict>
      </w:r>
    </w:p>
    <w:bookmarkEnd w:id="29"/>
    <w:bookmarkEnd w:id="30"/>
    <w:bookmarkStart w:id="38" w:name="seven-core-concepts"/>
    <w:p>
      <w:pPr>
        <w:pStyle w:val="Heading1"/>
      </w:pPr>
      <w:r>
        <w:t xml:space="preserve">Seven Core Concepts</w:t>
      </w:r>
    </w:p>
    <w:bookmarkStart w:id="31" w:name="conversation-as-the-atomic-unit"/>
    <w:p>
      <w:pPr>
        <w:pStyle w:val="Heading3"/>
      </w:pPr>
      <w:r>
        <w:t xml:space="preserve">1. Conversation as the Atomic Unit</w:t>
      </w:r>
    </w:p>
    <w:p>
      <w:pPr>
        <w:pStyle w:val="FirstParagraph"/>
      </w:pPr>
      <w:r>
        <w:t xml:space="preserve">Every interaction—identity, certificate, addressing, path, QoS, and telemetry—is treated as a single, correlated conversation rather than isolated events.</w:t>
      </w:r>
    </w:p>
    <w:bookmarkEnd w:id="31"/>
    <w:bookmarkStart w:id="32" w:name="identity-as-the-root-namespace"/>
    <w:p>
      <w:pPr>
        <w:pStyle w:val="Heading3"/>
      </w:pPr>
      <w:r>
        <w:t xml:space="preserve">2. Identity as the Root Namespace</w:t>
      </w:r>
    </w:p>
    <w:p>
      <w:pPr>
        <w:pStyle w:val="FirstParagraph"/>
      </w:pPr>
      <w:r>
        <w:t xml:space="preserve">Identity becomes the root namespace for all resources, ensuring that every IP address, certificate, subnet, policy, and telemetry event is derived from or bound to identity.</w:t>
      </w:r>
    </w:p>
    <w:bookmarkEnd w:id="32"/>
    <w:bookmarkStart w:id="33" w:name="deterministic-addressing"/>
    <w:p>
      <w:pPr>
        <w:pStyle w:val="Heading3"/>
      </w:pPr>
      <w:r>
        <w:t xml:space="preserve">3. Deterministic Addressing</w:t>
      </w:r>
    </w:p>
    <w:p>
      <w:pPr>
        <w:pStyle w:val="FirstParagraph"/>
      </w:pPr>
      <w:r>
        <w:t xml:space="preserve">Addressing becomes deterministic and policy-driven, replacing ad-hoc assignment with identity-derived logic that enables accurate correlation and automated governance.</w:t>
      </w:r>
    </w:p>
    <w:bookmarkEnd w:id="33"/>
    <w:bookmarkStart w:id="34" w:name="certificate-anchored-overlay"/>
    <w:p>
      <w:pPr>
        <w:pStyle w:val="Heading3"/>
      </w:pPr>
      <w:r>
        <w:t xml:space="preserve">4. Certificate-Anchored Overlay</w:t>
      </w:r>
    </w:p>
    <w:p>
      <w:pPr>
        <w:pStyle w:val="FirstParagraph"/>
      </w:pPr>
      <w:r>
        <w:t xml:space="preserve">Certificates and mutual TLS anchor tunnels, services, and trust relationships across the enterprise.</w:t>
      </w:r>
    </w:p>
    <w:bookmarkEnd w:id="34"/>
    <w:bookmarkStart w:id="35" w:name="telemetry-as-control"/>
    <w:p>
      <w:pPr>
        <w:pStyle w:val="Heading3"/>
      </w:pPr>
      <w:r>
        <w:t xml:space="preserve">5. Telemetry as Control</w:t>
      </w:r>
    </w:p>
    <w:p>
      <w:pPr>
        <w:pStyle w:val="FirstParagraph"/>
      </w:pPr>
      <w:r>
        <w:t xml:space="preserve">Telemetry becomes an active control input for routing, security, and compliance decisions rather than a passive reporting mechanism.</w:t>
      </w:r>
    </w:p>
    <w:bookmarkEnd w:id="35"/>
    <w:bookmarkStart w:id="36" w:name="embedded-governance-automation"/>
    <w:p>
      <w:pPr>
        <w:pStyle w:val="Heading3"/>
      </w:pPr>
      <w:r>
        <w:t xml:space="preserve">6. Embedded Governance &amp; Automation</w:t>
      </w:r>
    </w:p>
    <w:p>
      <w:pPr>
        <w:pStyle w:val="FirstParagraph"/>
      </w:pPr>
      <w:r>
        <w:t xml:space="preserve">Governance is executed through orchestrated workflows that enforce policy consistently and reduce operational burden.</w:t>
      </w:r>
    </w:p>
    <w:bookmarkEnd w:id="36"/>
    <w:bookmarkStart w:id="37" w:name="public-service-first"/>
    <w:p>
      <w:pPr>
        <w:pStyle w:val="Heading3"/>
      </w:pPr>
      <w:r>
        <w:t xml:space="preserve">7. Public Service First</w:t>
      </w:r>
    </w:p>
    <w:p>
      <w:pPr>
        <w:pStyle w:val="FirstParagraph"/>
      </w:pPr>
      <w:r>
        <w:t xml:space="preserve">Citizen experience, accessibility, and privacy remain top-level design constraints.</w:t>
      </w:r>
    </w:p>
    <w:p>
      <w:r>
        <w:pict>
          <v:rect style="width:0;height:1.5pt" o:hralign="center" o:hrstd="t" o:hr="t"/>
        </w:pict>
      </w:r>
    </w:p>
    <w:bookmarkEnd w:id="37"/>
    <w:bookmarkEnd w:id="38"/>
    <w:bookmarkStart w:id="39" w:name="frozen-state-analysis"/>
    <w:p>
      <w:pPr>
        <w:pStyle w:val="Heading1"/>
      </w:pPr>
      <w:r>
        <w:t xml:space="preserve">Frozen State Analysis</w:t>
      </w:r>
    </w:p>
    <w:p>
      <w:pPr>
        <w:pStyle w:val="FirstParagraph"/>
      </w:pPr>
      <w:r>
        <w:t xml:space="preserve">The agency’s current environment reflects a series of disconnected legacy systems that cannot support modern requirements. Identity is siloed across divisions, preventing a unified identity graph. Addressing is static and manually managed, creating operational risk and preventing accurate correlation. Network security relies on perimeter firewalls that cannot enforce identity-aware segmentation. Endpoint posture is inconsistent due to mixed tooling. Applications rely on monolithic architectures and local authentication, limiting scalability and modernization. Telemetry is collected but not correlated, preventing conversation-level visibility. Governance depends on email and manual change management, slowing operations and increasing error rates. Data protection relies on manual classification and noisy DLP, limiting effectiveness.</w:t>
      </w:r>
    </w:p>
    <w:p>
      <w:r>
        <w:pict>
          <v:rect style="width:0;height:1.5pt" o:hralign="center" o:hrstd="t" o:hr="t"/>
        </w:pict>
      </w:r>
    </w:p>
    <w:bookmarkEnd w:id="39"/>
    <w:bookmarkStart w:id="40" w:name="program-outcomes"/>
    <w:p>
      <w:pPr>
        <w:pStyle w:val="Heading1"/>
      </w:pPr>
      <w:r>
        <w:t xml:space="preserve">Program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r>
        <w:pict>
          <v:rect style="width:0;height:1.5pt" o:hralign="center" o:hrstd="t" o:hr="t"/>
        </w:pict>
      </w:r>
    </w:p>
    <w:bookmarkEnd w:id="40"/>
    <w:bookmarkStart w:id="44" w:name="vibrant-visualizations"/>
    <w:p>
      <w:pPr>
        <w:pStyle w:val="Heading1"/>
      </w:pPr>
      <w:r>
        <w:t xml:space="preserve">Vibrant Visualizations</w:t>
      </w:r>
    </w:p>
    <w:bookmarkStart w:id="41" w:name="modernization-journey"/>
    <w:p>
      <w:pPr>
        <w:pStyle w:val="Heading3"/>
      </w:pPr>
      <w:r>
        <w:t xml:space="preserve">Modernization Journey</w:t>
      </w:r>
    </w:p>
    <w:tbl>
      <w:tblPr>
        <w:tblStyle w:val="FigureTable"/>
        <w:tblW w:type="auto" w:w="0"/>
        <w:tblLook w:firstRow="0" w:lastRow="0" w:firstColumn="0" w:lastColumn="0"/>
        <w:jc w:val="center"/>
      </w:tblPr>
      <w:tblGrid>
        <w:gridCol w:w="7920"/>
      </w:tblGrid>
      <w:tr>
        <w:tc>
          <w:tcPr/>
          <w:p>
            <w:pPr>
              <w:pStyle w:val="Compact"/>
              <w:jc w:val="center"/>
            </w:pPr>
            <w:r>
              <w:t xml:space="preserve">Modernization Atlas</w:t>
            </w:r>
          </w:p>
        </w:tc>
      </w:tr>
    </w:tbl>
    <w:p>
      <w:pPr>
        <w:pStyle w:val="ImageCaption"/>
      </w:pPr>
      <w:r>
        <w:t xml:space="preserve">Modernization Atlas</w:t>
      </w:r>
    </w:p>
    <w:bookmarkEnd w:id="41"/>
    <w:bookmarkStart w:id="42" w:name="fedramp-20x-governance-loop"/>
    <w:p>
      <w:pPr>
        <w:pStyle w:val="Heading3"/>
      </w:pPr>
      <w:r>
        <w:t xml:space="preserve">FedRAMP 20x Governance Loop</w:t>
      </w:r>
    </w:p>
    <w:tbl>
      <w:tblPr>
        <w:tblStyle w:val="FigureTable"/>
        <w:tblW w:type="auto" w:w="0"/>
        <w:tblLook w:firstRow="0" w:lastRow="0" w:firstColumn="0" w:lastColumn="0"/>
        <w:jc w:val="center"/>
      </w:tblPr>
      <w:tblGrid>
        <w:gridCol w:w="7920"/>
      </w:tblGrid>
      <w:tr>
        <w:tc>
          <w:tcPr/>
          <w:p>
            <w:pPr>
              <w:pStyle w:val="Compact"/>
              <w:jc w:val="center"/>
            </w:pPr>
            <w:r>
              <w:t xml:space="preserve">20x Governance Hub</w:t>
            </w:r>
          </w:p>
        </w:tc>
      </w:tr>
    </w:tbl>
    <w:p>
      <w:pPr>
        <w:pStyle w:val="ImageCaption"/>
      </w:pPr>
      <w:r>
        <w:t xml:space="preserve">20x Governance Hub</w:t>
      </w:r>
    </w:p>
    <w:bookmarkEnd w:id="42"/>
    <w:bookmarkStart w:id="43" w:name="identity-to-ip-architecture"/>
    <w:p>
      <w:pPr>
        <w:pStyle w:val="Heading3"/>
      </w:pPr>
      <w:r>
        <w:t xml:space="preserve">Identity-to-IP Architecture</w:t>
      </w:r>
    </w:p>
    <w:tbl>
      <w:tblPr>
        <w:tblStyle w:val="FigureTable"/>
        <w:tblW w:type="auto" w:w="0"/>
        <w:tblLook w:firstRow="0" w:lastRow="0" w:firstColumn="0" w:lastColumn="0"/>
        <w:jc w:val="center"/>
      </w:tblPr>
      <w:tblGrid>
        <w:gridCol w:w="7920"/>
      </w:tblGrid>
      <w:tr>
        <w:tc>
          <w:tcPr/>
          <w:p>
            <w:pPr>
              <w:pStyle w:val="Compact"/>
              <w:jc w:val="center"/>
            </w:pPr>
            <w:r>
              <w:t xml:space="preserve">Identity Mapping</w:t>
            </w:r>
          </w:p>
        </w:tc>
      </w:tr>
    </w:tbl>
    <w:p>
      <w:pPr>
        <w:pStyle w:val="ImageCaption"/>
      </w:pPr>
      <w:r>
        <w:t xml:space="preserve">Identity Mapping</w:t>
      </w:r>
    </w:p>
    <w:p>
      <w:r>
        <w:pict>
          <v:rect style="width:0;height:1.5pt" o:hralign="center" o:hrstd="t" o:hr="t"/>
        </w:pict>
      </w:r>
    </w:p>
    <w:bookmarkEnd w:id="43"/>
    <w:bookmarkEnd w:id="44"/>
    <w:bookmarkStart w:id="45" w:name="fedramp-20x-audit-evidence-summary"/>
    <w:p>
      <w:pPr>
        <w:pStyle w:val="Heading1"/>
      </w:pPr>
      <w:r>
        <w:t xml:space="preserve">FedRAMP 20x Audit Evidence Summary</w:t>
      </w:r>
    </w:p>
    <w:p>
      <w:pPr>
        <w:pStyle w:val="FirstParagraph"/>
      </w:pPr>
      <w:r>
        <w:t xml:space="preserve">The following section provides a direct mapping of the UIAO Modernization Architecture to critical NIST 800-53 Revision 5 security controls. The vibrant visualizations linked below serve as high-level visual proof of implementation for auditors and agency authorizing officials (AOs).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Visual Title</w:t>
            </w:r>
          </w:p>
        </w:tc>
        <w:tc>
          <w:tcPr/>
          <w:p>
            <w:pPr>
              <w:pStyle w:val="Compact"/>
              <w:jc w:val="left"/>
            </w:pPr>
            <w:r>
              <w:t xml:space="preserve">Architectural Pillar</w:t>
            </w:r>
          </w:p>
        </w:tc>
        <w:tc>
          <w:tcPr/>
          <w:p>
            <w:pPr>
              <w:pStyle w:val="Compact"/>
              <w:jc w:val="left"/>
            </w:pPr>
            <w:r>
              <w:t xml:space="preserve">Relevant NIST Control(s)</w:t>
            </w:r>
          </w:p>
        </w:tc>
        <w:tc>
          <w:tcPr/>
          <w:p>
            <w:pPr>
              <w:pStyle w:val="Compact"/>
              <w:jc w:val="left"/>
            </w:pPr>
            <w:r>
              <w:t xml:space="preserve">Implementation Proof Visualization</w:t>
            </w:r>
          </w:p>
        </w:tc>
      </w:tr>
      <w:tr>
        <w:tc>
          <w:tcPr/>
          <w:p>
            <w:pPr>
              <w:pStyle w:val="Compact"/>
              <w:jc w:val="left"/>
            </w:pPr>
            <w:r>
              <w:rPr>
                <w:bCs/>
                <w:b/>
              </w:rPr>
              <w:t xml:space="preserve">V1: Identity-to-IP Mapping</w:t>
            </w:r>
          </w:p>
        </w:tc>
        <w:tc>
          <w:tcPr/>
          <w:p>
            <w:pPr>
              <w:pStyle w:val="Compact"/>
              <w:jc w:val="left"/>
            </w:pPr>
            <w:r>
              <w:rPr>
                <w:bCs/>
                <w:b/>
              </w:rPr>
              <w:t xml:space="preserve">U + A</w:t>
            </w:r>
            <w:r>
              <w:t xml:space="preserve"> </w:t>
            </w:r>
            <w:r>
              <w:t xml:space="preserve">(The Gate)</w:t>
            </w:r>
          </w:p>
        </w:tc>
        <w:tc>
          <w:tcPr/>
          <w:p>
            <w:pPr>
              <w:pStyle w:val="Compact"/>
              <w:jc w:val="left"/>
            </w:pPr>
            <w:r>
              <w:rPr>
                <w:bCs/>
                <w:b/>
              </w:rPr>
              <w:t xml:space="preserve">IA-2 (Identification), AC-19 (Mobile), CM-8 (Inventory)</w:t>
            </w:r>
          </w:p>
        </w:tc>
        <w:tc>
          <w:tcPr/>
          <w:p>
            <w:pPr>
              <w:pStyle w:val="Compact"/>
              <w:jc w:val="left"/>
            </w:pPr>
            <w:r>
              <w:t xml:space="preserve">V1 Evidence</w:t>
            </w:r>
          </w:p>
        </w:tc>
      </w:tr>
      <w:tr>
        <w:tc>
          <w:tcPr/>
          <w:p>
            <w:pPr>
              <w:pStyle w:val="Compact"/>
              <w:jc w:val="left"/>
            </w:pPr>
            <w:r>
              <w:rPr>
                <w:bCs/>
                <w:b/>
              </w:rPr>
              <w:t xml:space="preserve">V2: INR Fabric</w:t>
            </w:r>
          </w:p>
        </w:tc>
        <w:tc>
          <w:tcPr/>
          <w:p>
            <w:pPr>
              <w:pStyle w:val="Compact"/>
              <w:jc w:val="left"/>
            </w:pPr>
            <w:r>
              <w:rPr>
                <w:bCs/>
                <w:b/>
              </w:rPr>
              <w:t xml:space="preserve">O</w:t>
            </w:r>
            <w:r>
              <w:t xml:space="preserve"> </w:t>
            </w:r>
            <w:r>
              <w:t xml:space="preserve">(The Network)</w:t>
            </w:r>
          </w:p>
        </w:tc>
        <w:tc>
          <w:tcPr/>
          <w:p>
            <w:pPr>
              <w:pStyle w:val="Compact"/>
              <w:jc w:val="left"/>
            </w:pPr>
            <w:r>
              <w:rPr>
                <w:bCs/>
                <w:b/>
              </w:rPr>
              <w:t xml:space="preserve">AC-4 (Flow Enforcement)</w:t>
            </w:r>
          </w:p>
        </w:tc>
        <w:tc>
          <w:tcPr/>
          <w:p>
            <w:pPr>
              <w:pStyle w:val="Compact"/>
              <w:jc w:val="left"/>
            </w:pPr>
            <w:r>
              <w:t xml:space="preserve">V2 Evidence</w:t>
            </w:r>
          </w:p>
        </w:tc>
      </w:tr>
      <w:tr>
        <w:tc>
          <w:tcPr/>
          <w:p>
            <w:pPr>
              <w:pStyle w:val="Compact"/>
              <w:jc w:val="left"/>
            </w:pPr>
            <w:r>
              <w:rPr>
                <w:bCs/>
                <w:b/>
              </w:rPr>
              <w:t xml:space="preserve">V3: 20x Governance Loop</w:t>
            </w:r>
          </w:p>
        </w:tc>
        <w:tc>
          <w:tcPr/>
          <w:p>
            <w:pPr>
              <w:pStyle w:val="Compact"/>
              <w:jc w:val="left"/>
            </w:pPr>
            <w:r>
              <w:rPr>
                <w:bCs/>
                <w:b/>
              </w:rPr>
              <w:t xml:space="preserve">Governance</w:t>
            </w:r>
            <w:r>
              <w:t xml:space="preserve"> </w:t>
            </w:r>
            <w:r>
              <w:t xml:space="preserve">(The Hub)</w:t>
            </w:r>
          </w:p>
        </w:tc>
        <w:tc>
          <w:tcPr/>
          <w:p>
            <w:pPr>
              <w:pStyle w:val="Compact"/>
              <w:jc w:val="left"/>
            </w:pPr>
            <w:r>
              <w:rPr>
                <w:bCs/>
                <w:b/>
              </w:rPr>
              <w:t xml:space="preserve">CA-7 (Continuous Monitoring), IR-4 (Incident Handling)</w:t>
            </w:r>
          </w:p>
        </w:tc>
        <w:tc>
          <w:tcPr/>
          <w:p>
            <w:pPr>
              <w:pStyle w:val="Compact"/>
              <w:jc w:val="left"/>
            </w:pPr>
            <w:r>
              <w:t xml:space="preserve">V3 Evidence</w:t>
            </w:r>
          </w:p>
        </w:tc>
      </w:tr>
      <w:tr>
        <w:tc>
          <w:tcPr/>
          <w:p>
            <w:pPr>
              <w:pStyle w:val="Compact"/>
              <w:jc w:val="left"/>
            </w:pPr>
            <w:r>
              <w:rPr>
                <w:bCs/>
                <w:b/>
              </w:rPr>
              <w:t xml:space="preserve">V4: Modernization Atlas</w:t>
            </w:r>
          </w:p>
        </w:tc>
        <w:tc>
          <w:tcPr/>
          <w:p>
            <w:pPr>
              <w:pStyle w:val="Compact"/>
              <w:jc w:val="left"/>
            </w:pPr>
            <w:r>
              <w:rPr>
                <w:bCs/>
                <w:b/>
              </w:rPr>
              <w:t xml:space="preserve">Strategy</w:t>
            </w:r>
            <w:r>
              <w:t xml:space="preserve"> </w:t>
            </w:r>
            <w:r>
              <w:t xml:space="preserve">(The Journey)</w:t>
            </w:r>
          </w:p>
        </w:tc>
        <w:tc>
          <w:tcPr/>
          <w:p>
            <w:pPr>
              <w:pStyle w:val="Compact"/>
              <w:jc w:val="left"/>
            </w:pPr>
            <w:r>
              <w:rPr>
                <w:bCs/>
                <w:b/>
              </w:rPr>
              <w:t xml:space="preserve">Program Vision / TIC 3.0</w:t>
            </w:r>
          </w:p>
        </w:tc>
        <w:tc>
          <w:tcPr/>
          <w:p>
            <w:pPr>
              <w:pStyle w:val="Compact"/>
              <w:jc w:val="left"/>
            </w:pPr>
            <w:r>
              <w:t xml:space="preserve">V4 Evidence</w:t>
            </w:r>
          </w:p>
        </w:tc>
      </w:tr>
      <w:tr>
        <w:tc>
          <w:tcPr/>
          <w:p>
            <w:pPr>
              <w:pStyle w:val="Compact"/>
              <w:jc w:val="left"/>
            </w:pPr>
            <w:r>
              <w:rPr>
                <w:bCs/>
                <w:b/>
              </w:rPr>
              <w:t xml:space="preserve">V5: Cryptographic Trust Chain</w:t>
            </w:r>
          </w:p>
        </w:tc>
        <w:tc>
          <w:tcPr/>
          <w:p>
            <w:pPr>
              <w:pStyle w:val="Compact"/>
              <w:jc w:val="left"/>
            </w:pPr>
            <w:r>
              <w:rPr>
                <w:bCs/>
                <w:b/>
              </w:rPr>
              <w:t xml:space="preserve">Security</w:t>
            </w:r>
            <w:r>
              <w:t xml:space="preserve"> </w:t>
            </w:r>
            <w:r>
              <w:t xml:space="preserve">(The Lock)</w:t>
            </w:r>
          </w:p>
        </w:tc>
        <w:tc>
          <w:tcPr/>
          <w:p>
            <w:pPr>
              <w:pStyle w:val="Compact"/>
              <w:jc w:val="left"/>
            </w:pPr>
            <w:r>
              <w:rPr>
                <w:bCs/>
                <w:b/>
              </w:rPr>
              <w:t xml:space="preserve">SC-8 (Transmission Confidentiality)</w:t>
            </w:r>
          </w:p>
        </w:tc>
        <w:tc>
          <w:tcPr/>
          <w:p>
            <w:pPr>
              <w:pStyle w:val="Compact"/>
              <w:jc w:val="left"/>
            </w:pPr>
            <w:r>
              <w:t xml:space="preserve">V5 Evidence</w:t>
            </w:r>
          </w:p>
        </w:tc>
      </w:tr>
    </w:tbl>
    <w:p>
      <w:r>
        <w:pict>
          <v:rect style="width:0;height:1.5pt" o:hralign="center" o:hrstd="t" o:hr="t"/>
        </w:pict>
      </w:r>
    </w:p>
    <w:p>
      <w:pPr>
        <w:pStyle w:val="FirstParagraph"/>
      </w:pPr>
      <w:r>
        <w:rPr>
          <w:iCs/>
          <w:i/>
        </w:rPr>
        <w:t xml:space="preserve">End of Leadership Briefing v1.0</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Leadership Briefing</dc:title>
  <dc:creator/>
  <cp:keywords/>
  <dcterms:created xsi:type="dcterms:W3CDTF">2026-03-20T16:20:24Z</dcterms:created>
  <dcterms:modified xsi:type="dcterms:W3CDTF">2026-03-20T16:20:24Z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CIO, CISO, CTO, PMO, Network Leadership, Identity Leadership</vt:lpwstr>
  </property>
  <property fmtid="{D5CDD505-2E9C-101B-9397-08002B2CF9AE}" pid="3" name="classification">
    <vt:lpwstr>CUI/FOUO</vt:lpwstr>
  </property>
  <property fmtid="{D5CDD505-2E9C-101B-9397-08002B2CF9AE}" pid="4" name="version">
    <vt:lpwstr>1.0</vt:lpwstr>
  </property>
</Properties>
</file>