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160" w:line="312" w:lineRule="auto"/>
      </w:pPr>
      <w:r>
        <w:rPr>
          <w:rFonts w:ascii="Calibri" w:cs="Calibri" w:eastAsia="Calibri" w:hAnsi="Calibri"/>
          <w:color w:val="2B5797"/>
          <w:sz w:val="44"/>
          <w:szCs w:val="44"/>
        </w:rPr>
        <w:t xml:space="preserve">AD Computer Object Conversion Guide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Entra ID, Intune, and Azure Arc Governance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Document Classification: Internal — Enterprise Architecture Governance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Version: 1.0  |  Date: April 2026  |  Status: Approved for Distribution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Audience: Enterprise Architects, Identity Engineers, Governance Leads, Platform Operations</w:t>
      </w:r>
    </w:p>
    <w:p>
      <w:pPr>
        <w:pBdr>
          <w:bottom w:val="single" w:color="2B5797" w:sz="6"/>
        </w:pBdr>
        <w:spacing w:after="240" w:before="240"/>
      </w:pPr>
    </w:p>
    <w:p>
      <w:pPr>
        <w:pStyle w:val="Heading2"/>
        <w:spacing w:after="120" w:before="360" w:line="312" w:lineRule="auto"/>
      </w:pPr>
      <w:r>
        <w:rPr>
          <w:rFonts w:ascii="Calibri" w:cs="Calibri" w:eastAsia="Calibri" w:hAnsi="Calibri"/>
          <w:color w:val="1A1A1A"/>
          <w:sz w:val="36"/>
          <w:szCs w:val="36"/>
        </w:rPr>
        <w:t xml:space="preserve">Table of Contents</w:t>
      </w:r>
    </w:p>
    <w:p>
      <w:pPr>
        <w:pStyle w:val="ListParagraph"/>
        <w:numPr>
          <w:ilvl w:val="0"/>
          <w:numId w:val="2"/>
        </w:numPr>
        <w:spacing w:after="60" w:line="408" w:lineRule="auto"/>
        <w:ind w:left="720" w:hanging="360"/>
      </w:pPr>
      <w:r>
        <w:t xml:space="preserve">Executive Summary</w:t>
      </w:r>
    </w:p>
    <w:p>
      <w:pPr>
        <w:pStyle w:val="ListParagraph"/>
        <w:numPr>
          <w:ilvl w:val="0"/>
          <w:numId w:val="2"/>
        </w:numPr>
        <w:spacing w:after="60" w:line="408" w:lineRule="auto"/>
        <w:ind w:left="720" w:hanging="360"/>
      </w:pPr>
      <w:r>
        <w:t xml:space="preserve">Section 1: Identity Decomposition — From AD Computer Object to Entra Device Identity</w:t>
      </w:r>
    </w:p>
    <w:p>
      <w:pPr>
        <w:pStyle w:val="ListParagraph"/>
        <w:numPr>
          <w:ilvl w:val="1"/>
          <w:numId w:val="2"/>
        </w:numPr>
        <w:spacing w:after="60" w:line="408" w:lineRule="auto"/>
        <w:ind w:left="1440" w:hanging="360"/>
      </w:pPr>
      <w:r>
        <w:t xml:space="preserve">1.1 Governance Facet Mapping</w:t>
      </w:r>
    </w:p>
    <w:p>
      <w:pPr>
        <w:pStyle w:val="ListParagraph"/>
        <w:numPr>
          <w:ilvl w:val="1"/>
          <w:numId w:val="2"/>
        </w:numPr>
        <w:spacing w:after="60" w:line="408" w:lineRule="auto"/>
        <w:ind w:left="1440" w:hanging="360"/>
      </w:pPr>
      <w:r>
        <w:t xml:space="preserve">1.2 Entra Device Object Model</w:t>
      </w:r>
    </w:p>
    <w:p>
      <w:pPr>
        <w:pStyle w:val="ListParagraph"/>
        <w:numPr>
          <w:ilvl w:val="1"/>
          <w:numId w:val="2"/>
        </w:numPr>
        <w:spacing w:after="60" w:line="408" w:lineRule="auto"/>
        <w:ind w:left="1440" w:hanging="360"/>
      </w:pPr>
      <w:r>
        <w:t xml:space="preserve">1.3 Identity Lifecycle Governance</w:t>
      </w:r>
    </w:p>
    <w:p>
      <w:pPr>
        <w:pStyle w:val="ListParagraph"/>
        <w:numPr>
          <w:ilvl w:val="0"/>
          <w:numId w:val="2"/>
        </w:numPr>
        <w:spacing w:after="60" w:line="408" w:lineRule="auto"/>
        <w:ind w:left="720" w:hanging="360"/>
      </w:pPr>
      <w:r>
        <w:t xml:space="preserve">Section 2: OrgPath for Devices — Replacing OU Structure with Attribute-Based Targeting</w:t>
      </w:r>
    </w:p>
    <w:p>
      <w:pPr>
        <w:pStyle w:val="ListParagraph"/>
        <w:numPr>
          <w:ilvl w:val="1"/>
          <w:numId w:val="2"/>
        </w:numPr>
        <w:spacing w:after="60" w:line="408" w:lineRule="auto"/>
        <w:ind w:left="1440" w:hanging="360"/>
      </w:pPr>
      <w:r>
        <w:t xml:space="preserve">2.1 OrgPath Design Principles</w:t>
      </w:r>
    </w:p>
    <w:p>
      <w:pPr>
        <w:pStyle w:val="ListParagraph"/>
        <w:numPr>
          <w:ilvl w:val="1"/>
          <w:numId w:val="2"/>
        </w:numPr>
        <w:spacing w:after="60" w:line="408" w:lineRule="auto"/>
        <w:ind w:left="1440" w:hanging="360"/>
      </w:pPr>
      <w:r>
        <w:t xml:space="preserve">2.2 Populating OrgPath Attributes</w:t>
      </w:r>
    </w:p>
    <w:p>
      <w:pPr>
        <w:pStyle w:val="ListParagraph"/>
        <w:numPr>
          <w:ilvl w:val="1"/>
          <w:numId w:val="2"/>
        </w:numPr>
        <w:spacing w:after="60" w:line="408" w:lineRule="auto"/>
        <w:ind w:left="1440" w:hanging="360"/>
      </w:pPr>
      <w:r>
        <w:t xml:space="preserve">2.3 OrgPath Governance Rules</w:t>
      </w:r>
    </w:p>
    <w:p>
      <w:pPr>
        <w:pStyle w:val="ListParagraph"/>
        <w:numPr>
          <w:ilvl w:val="0"/>
          <w:numId w:val="2"/>
        </w:numPr>
        <w:spacing w:after="60" w:line="408" w:lineRule="auto"/>
        <w:ind w:left="720" w:hanging="360"/>
      </w:pPr>
      <w:r>
        <w:t xml:space="preserve">Section 3: Dynamic Group Rules — Attribute-Based Policy Targeting</w:t>
      </w:r>
    </w:p>
    <w:p>
      <w:pPr>
        <w:pStyle w:val="ListParagraph"/>
        <w:numPr>
          <w:ilvl w:val="1"/>
          <w:numId w:val="2"/>
        </w:numPr>
        <w:spacing w:after="60" w:line="408" w:lineRule="auto"/>
        <w:ind w:left="1440" w:hanging="360"/>
      </w:pPr>
      <w:r>
        <w:t xml:space="preserve">3.1 Dynamic Group Rule Syntax Reference</w:t>
      </w:r>
    </w:p>
    <w:p>
      <w:pPr>
        <w:pStyle w:val="ListParagraph"/>
        <w:numPr>
          <w:ilvl w:val="1"/>
          <w:numId w:val="2"/>
        </w:numPr>
        <w:spacing w:after="60" w:line="408" w:lineRule="auto"/>
        <w:ind w:left="1440" w:hanging="360"/>
      </w:pPr>
      <w:r>
        <w:t xml:space="preserve">3.2 OrgPath-Based Dynamic Group Patterns</w:t>
      </w:r>
    </w:p>
    <w:p>
      <w:pPr>
        <w:pStyle w:val="ListParagraph"/>
        <w:numPr>
          <w:ilvl w:val="1"/>
          <w:numId w:val="2"/>
        </w:numPr>
        <w:spacing w:after="60" w:line="408" w:lineRule="auto"/>
        <w:ind w:left="1440" w:hanging="360"/>
      </w:pPr>
      <w:r>
        <w:t xml:space="preserve">3.3 Dynamic Group Governance Rules</w:t>
      </w:r>
    </w:p>
    <w:p>
      <w:pPr>
        <w:pStyle w:val="ListParagraph"/>
        <w:numPr>
          <w:ilvl w:val="0"/>
          <w:numId w:val="2"/>
        </w:numPr>
        <w:spacing w:after="60" w:line="408" w:lineRule="auto"/>
        <w:ind w:left="720" w:hanging="360"/>
      </w:pPr>
      <w:r>
        <w:t xml:space="preserve">Section 4: GPO-to-Intune Policy Mapping</w:t>
      </w:r>
    </w:p>
    <w:p>
      <w:pPr>
        <w:pStyle w:val="ListParagraph"/>
        <w:numPr>
          <w:ilvl w:val="1"/>
          <w:numId w:val="2"/>
        </w:numPr>
        <w:spacing w:after="60" w:line="408" w:lineRule="auto"/>
        <w:ind w:left="1440" w:hanging="360"/>
      </w:pPr>
      <w:r>
        <w:t xml:space="preserve">4.1 GPO Decomposition Model</w:t>
      </w:r>
    </w:p>
    <w:p>
      <w:pPr>
        <w:pStyle w:val="ListParagraph"/>
        <w:numPr>
          <w:ilvl w:val="1"/>
          <w:numId w:val="2"/>
        </w:numPr>
        <w:spacing w:after="60" w:line="408" w:lineRule="auto"/>
        <w:ind w:left="1440" w:hanging="360"/>
      </w:pPr>
      <w:r>
        <w:t xml:space="preserve">4.2 Migration Methodology</w:t>
      </w:r>
    </w:p>
    <w:p>
      <w:pPr>
        <w:pStyle w:val="ListParagraph"/>
        <w:numPr>
          <w:ilvl w:val="1"/>
          <w:numId w:val="2"/>
        </w:numPr>
        <w:spacing w:after="60" w:line="408" w:lineRule="auto"/>
        <w:ind w:left="1440" w:hanging="360"/>
      </w:pPr>
      <w:r>
        <w:t xml:space="preserve">4.3 GPO Settings with No Direct Intune Equivalent</w:t>
      </w:r>
    </w:p>
    <w:p>
      <w:pPr>
        <w:pStyle w:val="ListParagraph"/>
        <w:numPr>
          <w:ilvl w:val="1"/>
          <w:numId w:val="2"/>
        </w:numPr>
        <w:spacing w:after="60" w:line="408" w:lineRule="auto"/>
        <w:ind w:left="1440" w:hanging="360"/>
      </w:pPr>
      <w:r>
        <w:t xml:space="preserve">4.4 Policy Drift Detection</w:t>
      </w:r>
    </w:p>
    <w:p>
      <w:pPr>
        <w:pStyle w:val="ListParagraph"/>
        <w:numPr>
          <w:ilvl w:val="0"/>
          <w:numId w:val="2"/>
        </w:numPr>
        <w:spacing w:after="60" w:line="408" w:lineRule="auto"/>
        <w:ind w:left="720" w:hanging="360"/>
      </w:pPr>
      <w:r>
        <w:t xml:space="preserve">Section 5: Azure Arc Enrollment Governance</w:t>
      </w:r>
    </w:p>
    <w:p>
      <w:pPr>
        <w:pStyle w:val="ListParagraph"/>
        <w:numPr>
          <w:ilvl w:val="1"/>
          <w:numId w:val="2"/>
        </w:numPr>
        <w:spacing w:after="60" w:line="408" w:lineRule="auto"/>
        <w:ind w:left="1440" w:hanging="360"/>
      </w:pPr>
      <w:r>
        <w:t xml:space="preserve">5.1 Arc Enrollment Scope</w:t>
      </w:r>
    </w:p>
    <w:p>
      <w:pPr>
        <w:pStyle w:val="ListParagraph"/>
        <w:numPr>
          <w:ilvl w:val="1"/>
          <w:numId w:val="2"/>
        </w:numPr>
        <w:spacing w:after="60" w:line="408" w:lineRule="auto"/>
        <w:ind w:left="1440" w:hanging="360"/>
      </w:pPr>
      <w:r>
        <w:t xml:space="preserve">5.2 Resource Hierarchy Design</w:t>
      </w:r>
    </w:p>
    <w:p>
      <w:pPr>
        <w:pStyle w:val="ListParagraph"/>
        <w:numPr>
          <w:ilvl w:val="1"/>
          <w:numId w:val="2"/>
        </w:numPr>
        <w:spacing w:after="60" w:line="408" w:lineRule="auto"/>
        <w:ind w:left="1440" w:hanging="360"/>
      </w:pPr>
      <w:r>
        <w:t xml:space="preserve">5.3 Arc Enrollment Prerequisites and Process</w:t>
      </w:r>
    </w:p>
    <w:p>
      <w:pPr>
        <w:pStyle w:val="ListParagraph"/>
        <w:numPr>
          <w:ilvl w:val="1"/>
          <w:numId w:val="2"/>
        </w:numPr>
        <w:spacing w:after="60" w:line="408" w:lineRule="auto"/>
        <w:ind w:left="1440" w:hanging="360"/>
      </w:pPr>
      <w:r>
        <w:t xml:space="preserve">5.4 Arc Policy Governance</w:t>
      </w:r>
    </w:p>
    <w:p>
      <w:pPr>
        <w:pStyle w:val="ListParagraph"/>
        <w:numPr>
          <w:ilvl w:val="1"/>
          <w:numId w:val="2"/>
        </w:numPr>
        <w:spacing w:after="60" w:line="408" w:lineRule="auto"/>
        <w:ind w:left="1440" w:hanging="360"/>
      </w:pPr>
      <w:r>
        <w:t xml:space="preserve">5.5 Arc Enrollment Governance Rules</w:t>
      </w:r>
    </w:p>
    <w:p>
      <w:pPr>
        <w:pStyle w:val="ListParagraph"/>
        <w:numPr>
          <w:ilvl w:val="0"/>
          <w:numId w:val="2"/>
        </w:numPr>
        <w:spacing w:after="60" w:line="408" w:lineRule="auto"/>
        <w:ind w:left="720" w:hanging="360"/>
      </w:pPr>
      <w:r>
        <w:t xml:space="preserve">Section 6: Governance Integration and Cross-Platform Reconciliation</w:t>
      </w:r>
    </w:p>
    <w:p>
      <w:pPr>
        <w:pStyle w:val="ListParagraph"/>
        <w:numPr>
          <w:ilvl w:val="0"/>
          <w:numId w:val="2"/>
        </w:numPr>
        <w:spacing w:after="60" w:line="408" w:lineRule="auto"/>
        <w:ind w:left="720" w:hanging="360"/>
      </w:pPr>
      <w:r>
        <w:t xml:space="preserve">Appendix A: OrgPath Attribute Registry Template</w:t>
      </w:r>
    </w:p>
    <w:p>
      <w:pPr>
        <w:pStyle w:val="ListParagraph"/>
        <w:numPr>
          <w:ilvl w:val="0"/>
          <w:numId w:val="2"/>
        </w:numPr>
        <w:spacing w:after="60" w:line="408" w:lineRule="auto"/>
        <w:ind w:left="720" w:hanging="360"/>
      </w:pPr>
      <w:r>
        <w:t xml:space="preserve">Appendix B: Dynamic Group Naming Convention</w:t>
      </w:r>
    </w:p>
    <w:p>
      <w:pPr>
        <w:pStyle w:val="ListParagraph"/>
        <w:numPr>
          <w:ilvl w:val="0"/>
          <w:numId w:val="2"/>
        </w:numPr>
        <w:spacing w:after="60" w:line="408" w:lineRule="auto"/>
        <w:ind w:left="720" w:hanging="360"/>
      </w:pPr>
      <w:r>
        <w:t xml:space="preserve">Appendix C: GPO Migration Tracking Template</w:t>
      </w:r>
    </w:p>
    <w:p>
      <w:pPr>
        <w:pStyle w:val="Heading1"/>
        <w:spacing w:after="120" w:before="480" w:line="312" w:lineRule="auto"/>
      </w:pPr>
      <w:r>
        <w:rPr>
          <w:rFonts w:ascii="Calibri" w:cs="Calibri" w:eastAsia="Calibri" w:hAnsi="Calibri"/>
          <w:color w:val="1A1A1A"/>
          <w:sz w:val="48"/>
          <w:szCs w:val="48"/>
        </w:rPr>
        <w:t xml:space="preserve">Executive Summary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Active Directory computer objects have served for decades as monolithic identity containers that bundle machine identity, organizational placement, group-based access control, configuration state, operating system metadata, and trust relationships into a single directory object. The OU tree provided both a human-readable organizational taxonomy and the primary mechanism for policy targeting through Group Policy Object linkage. This model, while effective within forest boundaries, produces governance structures that are opaque to automation, difficult to audit programmatically, and fundamentally incompatible with cloud-native management paradigms.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Modern governance decomposes the AD computer object into discrete, independently governable facets distributed across three complementary surfaces: </w:t>
      </w:r>
      <w:r>
        <w:rPr>
          <w:rFonts w:ascii="Calibri" w:cs="Calibri" w:eastAsia="Calibri" w:hAnsi="Calibri"/>
          <w:b/>
          <w:bCs/>
          <w:i w:val="false"/>
          <w:iCs w:val="false"/>
          <w:strike w:val="false"/>
          <w:color w:val="000000"/>
          <w:sz w:val="22"/>
          <w:szCs w:val="22"/>
        </w:rPr>
        <w:t xml:space="preserve">Microsoft Entra ID</w:t>
      </w:r>
      <w:r>
        <w:rPr>
          <w:rFonts w:ascii="Calibri" w:cs="Calibri" w:eastAsia="Calibri" w:hAnsi="Calibri"/>
          <w:b w:val="false"/>
          <w:bCs w:val="false"/>
          <w:i w:val="false"/>
          <w:iCs w:val="false"/>
          <w:strike w:val="false"/>
          <w:color w:val="000000"/>
          <w:sz w:val="22"/>
          <w:szCs w:val="22"/>
        </w:rPr>
        <w:t xml:space="preserve"> (device identity, attribute-based organizational metadata, and dynamic group membership), </w:t>
      </w:r>
      <w:r>
        <w:rPr>
          <w:rFonts w:ascii="Calibri" w:cs="Calibri" w:eastAsia="Calibri" w:hAnsi="Calibri"/>
          <w:b/>
          <w:bCs/>
          <w:i w:val="false"/>
          <w:iCs w:val="false"/>
          <w:strike w:val="false"/>
          <w:color w:val="000000"/>
          <w:sz w:val="22"/>
          <w:szCs w:val="22"/>
        </w:rPr>
        <w:t xml:space="preserve">Microsoft Intune</w:t>
      </w:r>
      <w:r>
        <w:rPr>
          <w:rFonts w:ascii="Calibri" w:cs="Calibri" w:eastAsia="Calibri" w:hAnsi="Calibri"/>
          <w:b w:val="false"/>
          <w:bCs w:val="false"/>
          <w:i w:val="false"/>
          <w:iCs w:val="false"/>
          <w:strike w:val="false"/>
          <w:color w:val="000000"/>
          <w:sz w:val="22"/>
          <w:szCs w:val="22"/>
        </w:rPr>
        <w:t xml:space="preserve"> (configuration profiles, compliance policies, and endpoint security), and </w:t>
      </w:r>
      <w:r>
        <w:rPr>
          <w:rFonts w:ascii="Calibri" w:cs="Calibri" w:eastAsia="Calibri" w:hAnsi="Calibri"/>
          <w:b/>
          <w:bCs/>
          <w:i w:val="false"/>
          <w:iCs w:val="false"/>
          <w:strike w:val="false"/>
          <w:color w:val="000000"/>
          <w:sz w:val="22"/>
          <w:szCs w:val="22"/>
        </w:rPr>
        <w:t xml:space="preserve">Azure Arc</w:t>
      </w:r>
      <w:r>
        <w:rPr>
          <w:rFonts w:ascii="Calibri" w:cs="Calibri" w:eastAsia="Calibri" w:hAnsi="Calibri"/>
          <w:b w:val="false"/>
          <w:bCs w:val="false"/>
          <w:i w:val="false"/>
          <w:iCs w:val="false"/>
          <w:strike w:val="false"/>
          <w:color w:val="000000"/>
          <w:sz w:val="22"/>
          <w:szCs w:val="22"/>
        </w:rPr>
        <w:t xml:space="preserve"> (hybrid and on-premises server management through Azure Resource Manager). Each surface provides its own drift-detection mechanisms, policy-enforcement models, and compliance-reporting capabilities.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document defines the canonical conversion patterns, governance rules, attribute registries, and operational mappings required to execute this transformation. The central organizing principle is the </w:t>
      </w:r>
      <w:r>
        <w:rPr>
          <w:rFonts w:ascii="Calibri" w:cs="Calibri" w:eastAsia="Calibri" w:hAnsi="Calibri"/>
          <w:b/>
          <w:bCs/>
          <w:i w:val="false"/>
          <w:iCs w:val="false"/>
          <w:strike w:val="false"/>
          <w:color w:val="000000"/>
          <w:sz w:val="22"/>
          <w:szCs w:val="22"/>
        </w:rPr>
        <w:t xml:space="preserve">OrgPath pattern</w:t>
      </w:r>
      <w:r>
        <w:rPr>
          <w:rFonts w:ascii="Calibri" w:cs="Calibri" w:eastAsia="Calibri" w:hAnsi="Calibri"/>
          <w:b w:val="false"/>
          <w:bCs w:val="false"/>
          <w:i w:val="false"/>
          <w:iCs w:val="false"/>
          <w:strike w:val="false"/>
          <w:color w:val="000000"/>
          <w:sz w:val="22"/>
          <w:szCs w:val="22"/>
        </w:rPr>
        <w:t xml:space="preserve"> — a deterministic, attribute-based encoding of organizational metadata that replaces the structural hierarchy of the OU tree with machine-readable device extension attributes and Azure resource tags. OrgPath enables attribute-based dynamic group membership, which in turn provides the policy-targeting mechanism that replaces OU-linked GPOs. The result is a governance model that is flat, queryable, automatable, and resistant to configuration drift.</w:t>
      </w:r>
    </w:p>
    <w:p>
      <w:pPr>
        <w:pStyle w:val="Heading1"/>
        <w:spacing w:after="120" w:before="480" w:line="312" w:lineRule="auto"/>
      </w:pPr>
      <w:r>
        <w:rPr>
          <w:rFonts w:ascii="Calibri" w:cs="Calibri" w:eastAsia="Calibri" w:hAnsi="Calibri"/>
          <w:color w:val="1A1A1A"/>
          <w:sz w:val="48"/>
          <w:szCs w:val="48"/>
        </w:rPr>
        <w:t xml:space="preserve">1. Identity Decomposition — From AD Computer Object to Entra Device Identity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An Active Directory computer object is a composite entity that encodes at least six governance-relevant facets within a single directory object. Each facet serves a distinct governance function, yet all are co-located in the same object class and managed through overlapping administrative interfaces. The migration to Entra ID requires decomposing these facets and mapping each to its cloud-native equivalent, with explicit identification of governance surfaces where drift is detected and remediated.</w:t>
      </w:r>
    </w:p>
    <w:p>
      <w:pPr>
        <w:pStyle w:val="Heading2"/>
        <w:spacing w:after="120" w:before="360" w:line="312" w:lineRule="auto"/>
      </w:pPr>
      <w:r>
        <w:rPr>
          <w:rFonts w:ascii="Calibri" w:cs="Calibri" w:eastAsia="Calibri" w:hAnsi="Calibri"/>
          <w:color w:val="1A1A1A"/>
          <w:sz w:val="36"/>
          <w:szCs w:val="36"/>
        </w:rPr>
        <w:t xml:space="preserve">1.1 Governance Facet Mapping</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table maps each governance facet of the AD computer object to its Entra ID equivalent, identifies the governance surface responsible for drift detection, and notes any lossy mappings or governance gaps introduced by the conversion.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Governance Facet</w:t>
            </w:r>
          </w:p>
        </w:tc>
        <w:tc>
          <w:tcPr>
            <w:tcW w:type="pct" w:w="2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AD Attribute / Mechanism</w:t>
            </w:r>
          </w:p>
        </w:tc>
        <w:tc>
          <w:tcPr>
            <w:tcW w:type="pct" w:w="2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Entra ID Equivalent</w:t>
            </w:r>
          </w:p>
        </w:tc>
        <w:tc>
          <w:tcPr>
            <w:tcW w:type="pct" w:w="1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Governance Surface</w:t>
            </w:r>
          </w:p>
        </w:tc>
        <w:tc>
          <w:tcPr>
            <w:tcW w:type="pct" w:w="3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Notes / Governance Gaps</w:t>
            </w:r>
          </w:p>
        </w:tc>
      </w:tr>
      <w:tr>
        <w:trPr>
          <w:tblHeader w:val="false"/>
        </w:trPr>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Machine Identity</w:t>
            </w:r>
          </w:p>
        </w:tc>
        <w:tc>
          <w:tcPr>
            <w:tcW w:type="pct" w:w="20%"/>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servicePrincipalName</w:t>
            </w:r>
            <w:r>
              <w:rPr>
                <w:rFonts w:ascii="Calibri" w:cs="Calibri" w:eastAsia="Calibri" w:hAnsi="Calibri"/>
                <w:b w:val="false"/>
                <w:bCs w:val="false"/>
                <w:i w:val="false"/>
                <w:iCs w:val="false"/>
                <w:strike w:val="false"/>
                <w:color w:val="000000"/>
                <w:sz w:val="20"/>
                <w:szCs w:val="20"/>
              </w:rPr>
              <w:t xml:space="preserve">, </w:t>
            </w:r>
            <w:r>
              <w:rPr>
                <w:rFonts w:ascii="Courier New" w:cs="Courier New" w:eastAsia="Courier New" w:hAnsi="Courier New"/>
                <w:b w:val="false"/>
                <w:bCs w:val="false"/>
                <w:i w:val="false"/>
                <w:iCs w:val="false"/>
                <w:color w:val="000000"/>
                <w:sz w:val="18"/>
                <w:szCs w:val="18"/>
                <w:shd w:fill="F3F4F6" w:color="auto" w:val="clear"/>
              </w:rPr>
              <w:t xml:space="preserve">objectSID</w:t>
            </w:r>
            <w:r>
              <w:rPr>
                <w:rFonts w:ascii="Calibri" w:cs="Calibri" w:eastAsia="Calibri" w:hAnsi="Calibri"/>
                <w:b w:val="false"/>
                <w:bCs w:val="false"/>
                <w:i w:val="false"/>
                <w:iCs w:val="false"/>
                <w:strike w:val="false"/>
                <w:color w:val="000000"/>
                <w:sz w:val="20"/>
                <w:szCs w:val="20"/>
              </w:rPr>
              <w:t xml:space="preserve">, </w:t>
            </w:r>
            <w:r>
              <w:rPr>
                <w:rFonts w:ascii="Courier New" w:cs="Courier New" w:eastAsia="Courier New" w:hAnsi="Courier New"/>
                <w:b w:val="false"/>
                <w:bCs w:val="false"/>
                <w:i w:val="false"/>
                <w:iCs w:val="false"/>
                <w:color w:val="000000"/>
                <w:sz w:val="18"/>
                <w:szCs w:val="18"/>
                <w:shd w:fill="F3F4F6" w:color="auto" w:val="clear"/>
              </w:rPr>
              <w:t xml:space="preserve">dNSHostName</w:t>
            </w:r>
            <w:r>
              <w:rPr>
                <w:rFonts w:ascii="Calibri" w:cs="Calibri" w:eastAsia="Calibri" w:hAnsi="Calibri"/>
                <w:b w:val="false"/>
                <w:bCs w:val="false"/>
                <w:i w:val="false"/>
                <w:iCs w:val="false"/>
                <w:strike w:val="false"/>
                <w:color w:val="000000"/>
                <w:sz w:val="20"/>
                <w:szCs w:val="20"/>
              </w:rPr>
              <w:t xml:space="preserve">, </w:t>
            </w:r>
            <w:r>
              <w:rPr>
                <w:rFonts w:ascii="Courier New" w:cs="Courier New" w:eastAsia="Courier New" w:hAnsi="Courier New"/>
                <w:b w:val="false"/>
                <w:bCs w:val="false"/>
                <w:i w:val="false"/>
                <w:iCs w:val="false"/>
                <w:color w:val="000000"/>
                <w:sz w:val="18"/>
                <w:szCs w:val="18"/>
                <w:shd w:fill="F3F4F6" w:color="auto" w:val="clear"/>
              </w:rPr>
              <w:t xml:space="preserve">sAMAccountName</w:t>
            </w:r>
          </w:p>
        </w:tc>
        <w:tc>
          <w:tcPr>
            <w:tcW w:type="pct" w:w="20%"/>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deviceId</w:t>
            </w:r>
            <w:r>
              <w:rPr>
                <w:rFonts w:ascii="Calibri" w:cs="Calibri" w:eastAsia="Calibri" w:hAnsi="Calibri"/>
                <w:b w:val="false"/>
                <w:bCs w:val="false"/>
                <w:i w:val="false"/>
                <w:iCs w:val="false"/>
                <w:strike w:val="false"/>
                <w:color w:val="000000"/>
                <w:sz w:val="20"/>
                <w:szCs w:val="20"/>
              </w:rPr>
              <w:t xml:space="preserve"> (immutable GUID), </w:t>
            </w:r>
            <w:r>
              <w:rPr>
                <w:rFonts w:ascii="Courier New" w:cs="Courier New" w:eastAsia="Courier New" w:hAnsi="Courier New"/>
                <w:b w:val="false"/>
                <w:bCs w:val="false"/>
                <w:i w:val="false"/>
                <w:iCs w:val="false"/>
                <w:color w:val="000000"/>
                <w:sz w:val="18"/>
                <w:szCs w:val="18"/>
                <w:shd w:fill="F3F4F6" w:color="auto" w:val="clear"/>
              </w:rPr>
              <w:t xml:space="preserve">displayName</w:t>
            </w:r>
            <w:r>
              <w:rPr>
                <w:rFonts w:ascii="Calibri" w:cs="Calibri" w:eastAsia="Calibri" w:hAnsi="Calibri"/>
                <w:b w:val="false"/>
                <w:bCs w:val="false"/>
                <w:i w:val="false"/>
                <w:iCs w:val="false"/>
                <w:strike w:val="false"/>
                <w:color w:val="000000"/>
                <w:sz w:val="20"/>
                <w:szCs w:val="20"/>
              </w:rPr>
              <w:t xml:space="preserve">, </w:t>
            </w:r>
            <w:r>
              <w:rPr>
                <w:rFonts w:ascii="Courier New" w:cs="Courier New" w:eastAsia="Courier New" w:hAnsi="Courier New"/>
                <w:b w:val="false"/>
                <w:bCs w:val="false"/>
                <w:i w:val="false"/>
                <w:iCs w:val="false"/>
                <w:color w:val="000000"/>
                <w:sz w:val="18"/>
                <w:szCs w:val="18"/>
                <w:shd w:fill="F3F4F6" w:color="auto" w:val="clear"/>
              </w:rPr>
              <w:t xml:space="preserve">deviceObjectVersion</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Entra ID device object</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SID-based identity is not carried forward. Applications relying on machine SIDs require Hybrid Entra Join or explicit SID mapping. Kerberos-based SPNs are replaced by OAuth/OIDC device tokens.</w:t>
            </w:r>
          </w:p>
        </w:tc>
      </w:tr>
      <w:tr>
        <w:trPr>
          <w:tblHeader w:val="false"/>
        </w:trPr>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Organizational Placement</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Distinguished Name (</w:t>
            </w:r>
            <w:r>
              <w:rPr>
                <w:rFonts w:ascii="Courier New" w:cs="Courier New" w:eastAsia="Courier New" w:hAnsi="Courier New"/>
                <w:b w:val="false"/>
                <w:bCs w:val="false"/>
                <w:i w:val="false"/>
                <w:iCs w:val="false"/>
                <w:color w:val="000000"/>
                <w:sz w:val="18"/>
                <w:szCs w:val="18"/>
                <w:shd w:fill="F3F4F6" w:color="auto" w:val="clear"/>
              </w:rPr>
              <w:t xml:space="preserve">dn</w:t>
            </w:r>
            <w:r>
              <w:rPr>
                <w:rFonts w:ascii="Calibri" w:cs="Calibri" w:eastAsia="Calibri" w:hAnsi="Calibri"/>
                <w:b w:val="false"/>
                <w:bCs w:val="false"/>
                <w:i w:val="false"/>
                <w:iCs w:val="false"/>
                <w:strike w:val="false"/>
                <w:color w:val="000000"/>
                <w:sz w:val="20"/>
                <w:szCs w:val="20"/>
              </w:rPr>
              <w:t xml:space="preserve">), OU path, </w:t>
            </w:r>
            <w:r>
              <w:rPr>
                <w:rFonts w:ascii="Courier New" w:cs="Courier New" w:eastAsia="Courier New" w:hAnsi="Courier New"/>
                <w:b w:val="false"/>
                <w:bCs w:val="false"/>
                <w:i w:val="false"/>
                <w:iCs w:val="false"/>
                <w:color w:val="000000"/>
                <w:sz w:val="18"/>
                <w:szCs w:val="18"/>
                <w:shd w:fill="F3F4F6" w:color="auto" w:val="clear"/>
              </w:rPr>
              <w:t xml:space="preserve">canonicalName</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Extension attributes (</w:t>
            </w:r>
            <w:r>
              <w:rPr>
                <w:rFonts w:ascii="Courier New" w:cs="Courier New" w:eastAsia="Courier New" w:hAnsi="Courier New"/>
                <w:b w:val="false"/>
                <w:bCs w:val="false"/>
                <w:i w:val="false"/>
                <w:iCs w:val="false"/>
                <w:color w:val="000000"/>
                <w:sz w:val="18"/>
                <w:szCs w:val="18"/>
                <w:shd w:fill="F3F4F6" w:color="auto" w:val="clear"/>
              </w:rPr>
              <w:t xml:space="preserve">extensionAttribute1</w:t>
            </w:r>
            <w:r>
              <w:rPr>
                <w:rFonts w:ascii="Calibri" w:cs="Calibri" w:eastAsia="Calibri" w:hAnsi="Calibri"/>
                <w:b w:val="false"/>
                <w:bCs w:val="false"/>
                <w:i w:val="false"/>
                <w:iCs w:val="false"/>
                <w:strike w:val="false"/>
                <w:color w:val="000000"/>
                <w:sz w:val="20"/>
                <w:szCs w:val="20"/>
              </w:rPr>
              <w:t xml:space="preserve">–</w:t>
            </w:r>
            <w:r>
              <w:rPr>
                <w:rFonts w:ascii="Courier New" w:cs="Courier New" w:eastAsia="Courier New" w:hAnsi="Courier New"/>
                <w:b w:val="false"/>
                <w:bCs w:val="false"/>
                <w:i w:val="false"/>
                <w:iCs w:val="false"/>
                <w:color w:val="000000"/>
                <w:sz w:val="18"/>
                <w:szCs w:val="18"/>
                <w:shd w:fill="F3F4F6" w:color="auto" w:val="clear"/>
              </w:rPr>
              <w:t xml:space="preserve">15</w:t>
            </w:r>
            <w:r>
              <w:rPr>
                <w:rFonts w:ascii="Calibri" w:cs="Calibri" w:eastAsia="Calibri" w:hAnsi="Calibri"/>
                <w:b w:val="false"/>
                <w:bCs w:val="false"/>
                <w:i w:val="false"/>
                <w:iCs w:val="false"/>
                <w:strike w:val="false"/>
                <w:color w:val="000000"/>
                <w:sz w:val="20"/>
                <w:szCs w:val="20"/>
              </w:rPr>
              <w:t xml:space="preserve">), device categories, administrative units</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Entra ID extension attributes + Dynamic Groups</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Entra ID is a flat namespace; no hierarchical OU equivalent exists. OrgPath pattern (Section 2) addresses this gap. Administrative units provide scoped administration but not policy targeting.</w:t>
            </w:r>
          </w:p>
        </w:tc>
      </w:tr>
      <w:tr>
        <w:trPr>
          <w:tblHeader w:val="false"/>
        </w:trPr>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Group Memberships</w:t>
            </w:r>
          </w:p>
        </w:tc>
        <w:tc>
          <w:tcPr>
            <w:tcW w:type="pct" w:w="20%"/>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memberOf</w:t>
            </w:r>
            <w:r>
              <w:rPr>
                <w:rFonts w:ascii="Calibri" w:cs="Calibri" w:eastAsia="Calibri" w:hAnsi="Calibri"/>
                <w:b w:val="false"/>
                <w:bCs w:val="false"/>
                <w:i w:val="false"/>
                <w:iCs w:val="false"/>
                <w:strike w:val="false"/>
                <w:color w:val="000000"/>
                <w:sz w:val="20"/>
                <w:szCs w:val="20"/>
              </w:rPr>
              <w:t xml:space="preserve"> attribute, security group membership, </w:t>
            </w:r>
            <w:r>
              <w:rPr>
                <w:rFonts w:ascii="Courier New" w:cs="Courier New" w:eastAsia="Courier New" w:hAnsi="Courier New"/>
                <w:b w:val="false"/>
                <w:bCs w:val="false"/>
                <w:i w:val="false"/>
                <w:iCs w:val="false"/>
                <w:color w:val="000000"/>
                <w:sz w:val="18"/>
                <w:szCs w:val="18"/>
                <w:shd w:fill="F3F4F6" w:color="auto" w:val="clear"/>
              </w:rPr>
              <w:t xml:space="preserve">primaryGroupID</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Entra ID security groups (assigned and dynamic), </w:t>
            </w:r>
            <w:r>
              <w:rPr>
                <w:rFonts w:ascii="Courier New" w:cs="Courier New" w:eastAsia="Courier New" w:hAnsi="Courier New"/>
                <w:b w:val="false"/>
                <w:bCs w:val="false"/>
                <w:i w:val="false"/>
                <w:iCs w:val="false"/>
                <w:color w:val="000000"/>
                <w:sz w:val="18"/>
                <w:szCs w:val="18"/>
                <w:shd w:fill="F3F4F6" w:color="auto" w:val="clear"/>
              </w:rPr>
              <w:t xml:space="preserve">memberOf</w:t>
            </w:r>
            <w:r>
              <w:rPr>
                <w:rFonts w:ascii="Calibri" w:cs="Calibri" w:eastAsia="Calibri" w:hAnsi="Calibri"/>
                <w:b w:val="false"/>
                <w:bCs w:val="false"/>
                <w:i w:val="false"/>
                <w:iCs w:val="false"/>
                <w:strike w:val="false"/>
                <w:color w:val="000000"/>
                <w:sz w:val="20"/>
                <w:szCs w:val="20"/>
              </w:rPr>
              <w:t xml:space="preserve"> relationship</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Entra ID group membership + Conditional Access</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Static group assignments require explicit migration. Dynamic groups replace WMI-filtered or OU-scoped group logic. Nested group membership is supported but adds processing complexity.</w:t>
            </w:r>
          </w:p>
        </w:tc>
      </w:tr>
      <w:tr>
        <w:trPr>
          <w:tblHeader w:val="false"/>
        </w:trPr>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Applied Group Policy</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Linked GPOs (OU, domain, site), Resultant Set of Policy (RSoP), </w:t>
            </w:r>
            <w:r>
              <w:rPr>
                <w:rFonts w:ascii="Courier New" w:cs="Courier New" w:eastAsia="Courier New" w:hAnsi="Courier New"/>
                <w:b w:val="false"/>
                <w:bCs w:val="false"/>
                <w:i w:val="false"/>
                <w:iCs w:val="false"/>
                <w:color w:val="000000"/>
                <w:sz w:val="18"/>
                <w:szCs w:val="18"/>
                <w:shd w:fill="F3F4F6" w:color="auto" w:val="clear"/>
              </w:rPr>
              <w:t xml:space="preserve">gPLink</w:t>
            </w:r>
            <w:r>
              <w:rPr>
                <w:rFonts w:ascii="Calibri" w:cs="Calibri" w:eastAsia="Calibri" w:hAnsi="Calibri"/>
                <w:b w:val="false"/>
                <w:bCs w:val="false"/>
                <w:i w:val="false"/>
                <w:iCs w:val="false"/>
                <w:strike w:val="false"/>
                <w:color w:val="000000"/>
                <w:sz w:val="20"/>
                <w:szCs w:val="20"/>
              </w:rPr>
              <w:t xml:space="preserve"> / </w:t>
            </w:r>
            <w:r>
              <w:rPr>
                <w:rFonts w:ascii="Courier New" w:cs="Courier New" w:eastAsia="Courier New" w:hAnsi="Courier New"/>
                <w:b w:val="false"/>
                <w:bCs w:val="false"/>
                <w:i w:val="false"/>
                <w:iCs w:val="false"/>
                <w:color w:val="000000"/>
                <w:sz w:val="18"/>
                <w:szCs w:val="18"/>
                <w:shd w:fill="F3F4F6" w:color="auto" w:val="clear"/>
              </w:rPr>
              <w:t xml:space="preserve">gPOptions</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Intune configuration profiles, compliance policies, security baselines, endpoint security policies</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Intune + Endpoint Security</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GPO inheritance/precedence model is replaced by Intune's conflict resolution (most restrictive wins or last write wins, depending on policy type). No direct RSoP equivalent; use Intune device configuration reporting.</w:t>
            </w:r>
          </w:p>
        </w:tc>
      </w:tr>
      <w:tr>
        <w:trPr>
          <w:tblHeader w:val="false"/>
        </w:trPr>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Operating System Metadata</w:t>
            </w:r>
          </w:p>
        </w:tc>
        <w:tc>
          <w:tcPr>
            <w:tcW w:type="pct" w:w="20%"/>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operatingSystem</w:t>
            </w:r>
            <w:r>
              <w:rPr>
                <w:rFonts w:ascii="Calibri" w:cs="Calibri" w:eastAsia="Calibri" w:hAnsi="Calibri"/>
                <w:b w:val="false"/>
                <w:bCs w:val="false"/>
                <w:i w:val="false"/>
                <w:iCs w:val="false"/>
                <w:strike w:val="false"/>
                <w:color w:val="000000"/>
                <w:sz w:val="20"/>
                <w:szCs w:val="20"/>
              </w:rPr>
              <w:t xml:space="preserve">, </w:t>
            </w:r>
            <w:r>
              <w:rPr>
                <w:rFonts w:ascii="Courier New" w:cs="Courier New" w:eastAsia="Courier New" w:hAnsi="Courier New"/>
                <w:b w:val="false"/>
                <w:bCs w:val="false"/>
                <w:i w:val="false"/>
                <w:iCs w:val="false"/>
                <w:color w:val="000000"/>
                <w:sz w:val="18"/>
                <w:szCs w:val="18"/>
                <w:shd w:fill="F3F4F6" w:color="auto" w:val="clear"/>
              </w:rPr>
              <w:t xml:space="preserve">operatingSystemVersion</w:t>
            </w:r>
            <w:r>
              <w:rPr>
                <w:rFonts w:ascii="Calibri" w:cs="Calibri" w:eastAsia="Calibri" w:hAnsi="Calibri"/>
                <w:b w:val="false"/>
                <w:bCs w:val="false"/>
                <w:i w:val="false"/>
                <w:iCs w:val="false"/>
                <w:strike w:val="false"/>
                <w:color w:val="000000"/>
                <w:sz w:val="20"/>
                <w:szCs w:val="20"/>
              </w:rPr>
              <w:t xml:space="preserve">, </w:t>
            </w:r>
            <w:r>
              <w:rPr>
                <w:rFonts w:ascii="Courier New" w:cs="Courier New" w:eastAsia="Courier New" w:hAnsi="Courier New"/>
                <w:b w:val="false"/>
                <w:bCs w:val="false"/>
                <w:i w:val="false"/>
                <w:iCs w:val="false"/>
                <w:color w:val="000000"/>
                <w:sz w:val="18"/>
                <w:szCs w:val="18"/>
                <w:shd w:fill="F3F4F6" w:color="auto" w:val="clear"/>
              </w:rPr>
              <w:t xml:space="preserve">operatingSystemServicePack</w:t>
            </w:r>
          </w:p>
        </w:tc>
        <w:tc>
          <w:tcPr>
            <w:tcW w:type="pct" w:w="20%"/>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operatingSystem</w:t>
            </w:r>
            <w:r>
              <w:rPr>
                <w:rFonts w:ascii="Calibri" w:cs="Calibri" w:eastAsia="Calibri" w:hAnsi="Calibri"/>
                <w:b w:val="false"/>
                <w:bCs w:val="false"/>
                <w:i w:val="false"/>
                <w:iCs w:val="false"/>
                <w:strike w:val="false"/>
                <w:color w:val="000000"/>
                <w:sz w:val="20"/>
                <w:szCs w:val="20"/>
              </w:rPr>
              <w:t xml:space="preserve">, </w:t>
            </w:r>
            <w:r>
              <w:rPr>
                <w:rFonts w:ascii="Courier New" w:cs="Courier New" w:eastAsia="Courier New" w:hAnsi="Courier New"/>
                <w:b w:val="false"/>
                <w:bCs w:val="false"/>
                <w:i w:val="false"/>
                <w:iCs w:val="false"/>
                <w:color w:val="000000"/>
                <w:sz w:val="18"/>
                <w:szCs w:val="18"/>
                <w:shd w:fill="F3F4F6" w:color="auto" w:val="clear"/>
              </w:rPr>
              <w:t xml:space="preserve">operatingSystemVersion</w:t>
            </w:r>
            <w:r>
              <w:rPr>
                <w:rFonts w:ascii="Calibri" w:cs="Calibri" w:eastAsia="Calibri" w:hAnsi="Calibri"/>
                <w:b w:val="false"/>
                <w:bCs w:val="false"/>
                <w:i w:val="false"/>
                <w:iCs w:val="false"/>
                <w:strike w:val="false"/>
                <w:color w:val="000000"/>
                <w:sz w:val="20"/>
                <w:szCs w:val="20"/>
              </w:rPr>
              <w:t xml:space="preserve">, Intune hardware inventory</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Entra ID device properties + Intune inventory</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Entra ID stores basic OS metadata. Intune provides detailed hardware and software inventory including build numbers, BIOS/UEFI, and installed applications.</w:t>
            </w:r>
          </w:p>
        </w:tc>
      </w:tr>
      <w:tr>
        <w:trPr>
          <w:tblHeader w:val="false"/>
        </w:trPr>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Trust Relationships</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Domain trust, forest trust, </w:t>
            </w:r>
            <w:r>
              <w:rPr>
                <w:rFonts w:ascii="Courier New" w:cs="Courier New" w:eastAsia="Courier New" w:hAnsi="Courier New"/>
                <w:b w:val="false"/>
                <w:bCs w:val="false"/>
                <w:i w:val="false"/>
                <w:iCs w:val="false"/>
                <w:color w:val="000000"/>
                <w:sz w:val="18"/>
                <w:szCs w:val="18"/>
                <w:shd w:fill="F3F4F6" w:color="auto" w:val="clear"/>
              </w:rPr>
              <w:t xml:space="preserve">userAccountControl</w:t>
            </w:r>
            <w:r>
              <w:rPr>
                <w:rFonts w:ascii="Calibri" w:cs="Calibri" w:eastAsia="Calibri" w:hAnsi="Calibri"/>
                <w:b w:val="false"/>
                <w:bCs w:val="false"/>
                <w:i w:val="false"/>
                <w:iCs w:val="false"/>
                <w:strike w:val="false"/>
                <w:color w:val="000000"/>
                <w:sz w:val="20"/>
                <w:szCs w:val="20"/>
              </w:rPr>
              <w:t xml:space="preserve"> flags, delegation settings, </w:t>
            </w:r>
            <w:r>
              <w:rPr>
                <w:rFonts w:ascii="Courier New" w:cs="Courier New" w:eastAsia="Courier New" w:hAnsi="Courier New"/>
                <w:b w:val="false"/>
                <w:bCs w:val="false"/>
                <w:i w:val="false"/>
                <w:iCs w:val="false"/>
                <w:color w:val="000000"/>
                <w:sz w:val="18"/>
                <w:szCs w:val="18"/>
                <w:shd w:fill="F3F4F6" w:color="auto" w:val="clear"/>
              </w:rPr>
              <w:t xml:space="preserve">msDS-AllowedToDelegateTo</w:t>
            </w:r>
          </w:p>
        </w:tc>
        <w:tc>
          <w:tcPr>
            <w:tcW w:type="pct" w:w="20%"/>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trustType</w:t>
            </w:r>
            <w:r>
              <w:rPr>
                <w:rFonts w:ascii="Calibri" w:cs="Calibri" w:eastAsia="Calibri" w:hAnsi="Calibri"/>
                <w:b w:val="false"/>
                <w:bCs w:val="false"/>
                <w:i w:val="false"/>
                <w:iCs w:val="false"/>
                <w:strike w:val="false"/>
                <w:color w:val="000000"/>
                <w:sz w:val="20"/>
                <w:szCs w:val="20"/>
              </w:rPr>
              <w:t xml:space="preserve"> (AzureAd, ServerAd, Workplace), </w:t>
            </w:r>
            <w:r>
              <w:rPr>
                <w:rFonts w:ascii="Courier New" w:cs="Courier New" w:eastAsia="Courier New" w:hAnsi="Courier New"/>
                <w:b w:val="false"/>
                <w:bCs w:val="false"/>
                <w:i w:val="false"/>
                <w:iCs w:val="false"/>
                <w:color w:val="000000"/>
                <w:sz w:val="18"/>
                <w:szCs w:val="18"/>
                <w:shd w:fill="F3F4F6" w:color="auto" w:val="clear"/>
              </w:rPr>
              <w:t xml:space="preserve">isManaged</w:t>
            </w:r>
            <w:r>
              <w:rPr>
                <w:rFonts w:ascii="Calibri" w:cs="Calibri" w:eastAsia="Calibri" w:hAnsi="Calibri"/>
                <w:b w:val="false"/>
                <w:bCs w:val="false"/>
                <w:i w:val="false"/>
                <w:iCs w:val="false"/>
                <w:strike w:val="false"/>
                <w:color w:val="000000"/>
                <w:sz w:val="20"/>
                <w:szCs w:val="20"/>
              </w:rPr>
              <w:t xml:space="preserve">, </w:t>
            </w:r>
            <w:r>
              <w:rPr>
                <w:rFonts w:ascii="Courier New" w:cs="Courier New" w:eastAsia="Courier New" w:hAnsi="Courier New"/>
                <w:b w:val="false"/>
                <w:bCs w:val="false"/>
                <w:i w:val="false"/>
                <w:iCs w:val="false"/>
                <w:color w:val="000000"/>
                <w:sz w:val="18"/>
                <w:szCs w:val="18"/>
                <w:shd w:fill="F3F4F6" w:color="auto" w:val="clear"/>
              </w:rPr>
              <w:t xml:space="preserve">isCompliant</w:t>
            </w:r>
            <w:r>
              <w:rPr>
                <w:rFonts w:ascii="Calibri" w:cs="Calibri" w:eastAsia="Calibri" w:hAnsi="Calibri"/>
                <w:b w:val="false"/>
                <w:bCs w:val="false"/>
                <w:i w:val="false"/>
                <w:iCs w:val="false"/>
                <w:strike w:val="false"/>
                <w:color w:val="000000"/>
                <w:sz w:val="20"/>
                <w:szCs w:val="20"/>
              </w:rPr>
              <w:t xml:space="preserve">, cross-tenant access settings</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Entra ID + Conditional Access + Cross-tenant settings</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Kerberos delegation is not carried forward. Cross-forest trust is replaced by cross-tenant access policies and B2B collaboration settings. Constrained delegation requires application-level migration to OAuth-based flows.</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1.2 Entra Device Object Model</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Entra ID device object is the cloud-native successor to the AD computer object. It is a first-class directory object with its own set of properties, relationships, and governance capabilities. Understanding the device object model is prerequisite to designing the OrgPath pattern and dynamic group rules described in subsequent sections.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6%"/>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Property</w:t>
            </w:r>
          </w:p>
        </w:tc>
        <w:tc>
          <w:tcPr>
            <w:tcW w:type="pct" w:w="1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Type</w:t>
            </w:r>
          </w:p>
        </w:tc>
        <w:tc>
          <w:tcPr>
            <w:tcW w:type="pct" w:w="26%"/>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Description</w:t>
            </w:r>
          </w:p>
        </w:tc>
        <w:tc>
          <w:tcPr>
            <w:tcW w:type="pct" w:w="47%"/>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Governance Relevance</w:t>
            </w:r>
          </w:p>
        </w:tc>
      </w:tr>
      <w:tr>
        <w:trPr>
          <w:tblHeader w:val="false"/>
        </w:trPr>
        <w:tc>
          <w:tcPr>
            <w:tcW w:type="pct" w:w="16%"/>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deviceId</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GUID (immutable)</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Unique identifier assigned at device registration. Not reusable.</w:t>
            </w:r>
          </w:p>
        </w:tc>
        <w:tc>
          <w:tcPr>
            <w:tcW w:type="pct" w:w="4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Primary key for device identity. Used in audit logs and compliance reporting.</w:t>
            </w:r>
          </w:p>
        </w:tc>
      </w:tr>
      <w:tr>
        <w:trPr>
          <w:tblHeader w:val="false"/>
        </w:trPr>
        <w:tc>
          <w:tcPr>
            <w:tcW w:type="pct" w:w="16%"/>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displayName</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String</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Human-readable device name. Typically the hostname.</w:t>
            </w:r>
          </w:p>
        </w:tc>
        <w:tc>
          <w:tcPr>
            <w:tcW w:type="pct" w:w="4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Used in dynamic group rules and administrative search. Must follow naming conventions.</w:t>
            </w:r>
          </w:p>
        </w:tc>
      </w:tr>
      <w:tr>
        <w:trPr>
          <w:tblHeader w:val="false"/>
        </w:trPr>
        <w:tc>
          <w:tcPr>
            <w:tcW w:type="pct" w:w="16%"/>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operatingSystem</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String</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Operating system name (e.g., "Windows", "MacOS", "Linux").</w:t>
            </w:r>
          </w:p>
        </w:tc>
        <w:tc>
          <w:tcPr>
            <w:tcW w:type="pct" w:w="4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Used in dynamic group filtering for OS-specific policy targeting.</w:t>
            </w:r>
          </w:p>
        </w:tc>
      </w:tr>
      <w:tr>
        <w:trPr>
          <w:tblHeader w:val="false"/>
        </w:trPr>
        <w:tc>
          <w:tcPr>
            <w:tcW w:type="pct" w:w="16%"/>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operatingSystemVersion</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String</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OS version string (e.g., "10.0.22631.0" for Windows 11 23H2).</w:t>
            </w:r>
          </w:p>
        </w:tc>
        <w:tc>
          <w:tcPr>
            <w:tcW w:type="pct" w:w="4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Used in compliance policies and dynamic group rules for OS version enforcement.</w:t>
            </w:r>
          </w:p>
        </w:tc>
      </w:tr>
      <w:tr>
        <w:trPr>
          <w:tblHeader w:val="false"/>
        </w:trPr>
        <w:tc>
          <w:tcPr>
            <w:tcW w:type="pct" w:w="16%"/>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trustType</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Enum</w:t>
            </w:r>
          </w:p>
        </w:tc>
        <w:tc>
          <w:tcPr>
            <w:tcW w:type="pct" w:w="2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AzureAd</w:t>
            </w:r>
            <w:r>
              <w:rPr>
                <w:rFonts w:ascii="Calibri" w:cs="Calibri" w:eastAsia="Calibri" w:hAnsi="Calibri"/>
                <w:b w:val="false"/>
                <w:bCs w:val="false"/>
                <w:i w:val="false"/>
                <w:iCs w:val="false"/>
                <w:strike w:val="false"/>
                <w:color w:val="000000"/>
                <w:sz w:val="20"/>
                <w:szCs w:val="20"/>
              </w:rPr>
              <w:t xml:space="preserve"> (Entra Joined), </w:t>
            </w:r>
            <w:r>
              <w:rPr>
                <w:rFonts w:ascii="Calibri" w:cs="Calibri" w:eastAsia="Calibri" w:hAnsi="Calibri"/>
                <w:b/>
                <w:bCs/>
                <w:i w:val="false"/>
                <w:iCs w:val="false"/>
                <w:strike w:val="false"/>
                <w:color w:val="000000"/>
                <w:sz w:val="22"/>
                <w:szCs w:val="22"/>
              </w:rPr>
              <w:t xml:space="preserve">ServerAd</w:t>
            </w:r>
            <w:r>
              <w:rPr>
                <w:rFonts w:ascii="Calibri" w:cs="Calibri" w:eastAsia="Calibri" w:hAnsi="Calibri"/>
                <w:b w:val="false"/>
                <w:bCs w:val="false"/>
                <w:i w:val="false"/>
                <w:iCs w:val="false"/>
                <w:strike w:val="false"/>
                <w:color w:val="000000"/>
                <w:sz w:val="20"/>
                <w:szCs w:val="20"/>
              </w:rPr>
              <w:t xml:space="preserve"> (Hybrid Entra Joined), </w:t>
            </w:r>
            <w:r>
              <w:rPr>
                <w:rFonts w:ascii="Calibri" w:cs="Calibri" w:eastAsia="Calibri" w:hAnsi="Calibri"/>
                <w:b/>
                <w:bCs/>
                <w:i w:val="false"/>
                <w:iCs w:val="false"/>
                <w:strike w:val="false"/>
                <w:color w:val="000000"/>
                <w:sz w:val="22"/>
                <w:szCs w:val="22"/>
              </w:rPr>
              <w:t xml:space="preserve">Workplace</w:t>
            </w:r>
            <w:r>
              <w:rPr>
                <w:rFonts w:ascii="Calibri" w:cs="Calibri" w:eastAsia="Calibri" w:hAnsi="Calibri"/>
                <w:b w:val="false"/>
                <w:bCs w:val="false"/>
                <w:i w:val="false"/>
                <w:iCs w:val="false"/>
                <w:strike w:val="false"/>
                <w:color w:val="000000"/>
                <w:sz w:val="20"/>
                <w:szCs w:val="20"/>
              </w:rPr>
              <w:t xml:space="preserve"> (Entra Registered).</w:t>
            </w:r>
          </w:p>
        </w:tc>
        <w:tc>
          <w:tcPr>
            <w:tcW w:type="pct" w:w="4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Determines the identity assertion model. Hybrid Join maintains AD SID continuity. Entra Join is cloud-native. Workplace registration is lowest trust.</w:t>
            </w:r>
          </w:p>
        </w:tc>
      </w:tr>
      <w:tr>
        <w:trPr>
          <w:tblHeader w:val="false"/>
        </w:trPr>
        <w:tc>
          <w:tcPr>
            <w:tcW w:type="pct" w:w="16%"/>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isManaged</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Boolean</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Indicates whether the device is enrolled in a management solution (Intune, SCCM co-management).</w:t>
            </w:r>
          </w:p>
        </w:tc>
        <w:tc>
          <w:tcPr>
            <w:tcW w:type="pct" w:w="4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Conditional Access policies can require managed device state for resource access.</w:t>
            </w:r>
          </w:p>
        </w:tc>
      </w:tr>
      <w:tr>
        <w:trPr>
          <w:tblHeader w:val="false"/>
        </w:trPr>
        <w:tc>
          <w:tcPr>
            <w:tcW w:type="pct" w:w="16%"/>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isCompliant</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Boolean</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Indicates whether the device meets all assigned Intune compliance policies.</w:t>
            </w:r>
          </w:p>
        </w:tc>
        <w:tc>
          <w:tcPr>
            <w:tcW w:type="pct" w:w="4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Critical Conditional Access signal. Non-compliant devices can be blocked from corporate resources.</w:t>
            </w:r>
          </w:p>
        </w:tc>
      </w:tr>
      <w:tr>
        <w:trPr>
          <w:tblHeader w:val="false"/>
        </w:trPr>
        <w:tc>
          <w:tcPr>
            <w:tcW w:type="pct" w:w="16%"/>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registeredOwners</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Collection</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Users designated as owners of the device.</w:t>
            </w:r>
          </w:p>
        </w:tc>
        <w:tc>
          <w:tcPr>
            <w:tcW w:type="pct" w:w="4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Defines accountability. Orphan detection flags devices with no registered owner.</w:t>
            </w:r>
          </w:p>
        </w:tc>
      </w:tr>
      <w:tr>
        <w:trPr>
          <w:tblHeader w:val="false"/>
        </w:trPr>
        <w:tc>
          <w:tcPr>
            <w:tcW w:type="pct" w:w="16%"/>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registeredUsers</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Collection</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Users who have registered to use the device.</w:t>
            </w:r>
          </w:p>
        </w:tc>
        <w:tc>
          <w:tcPr>
            <w:tcW w:type="pct" w:w="4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Shared device governance requires monitoring registered user count and activity.</w:t>
            </w:r>
          </w:p>
        </w:tc>
      </w:tr>
      <w:tr>
        <w:trPr>
          <w:tblHeader w:val="false"/>
        </w:trPr>
        <w:tc>
          <w:tcPr>
            <w:tcW w:type="pct" w:w="16%"/>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extensionAttribute1</w:t>
            </w:r>
            <w:r>
              <w:rPr>
                <w:rFonts w:ascii="Calibri" w:cs="Calibri" w:eastAsia="Calibri" w:hAnsi="Calibri"/>
                <w:b w:val="false"/>
                <w:bCs w:val="false"/>
                <w:i w:val="false"/>
                <w:iCs w:val="false"/>
                <w:strike w:val="false"/>
                <w:color w:val="000000"/>
                <w:sz w:val="20"/>
                <w:szCs w:val="20"/>
              </w:rPr>
              <w:t xml:space="preserve">–</w:t>
            </w:r>
            <w:r>
              <w:rPr>
                <w:rFonts w:ascii="Courier New" w:cs="Courier New" w:eastAsia="Courier New" w:hAnsi="Courier New"/>
                <w:b w:val="false"/>
                <w:bCs w:val="false"/>
                <w:i w:val="false"/>
                <w:iCs w:val="false"/>
                <w:color w:val="000000"/>
                <w:sz w:val="18"/>
                <w:szCs w:val="18"/>
                <w:shd w:fill="F3F4F6" w:color="auto" w:val="clear"/>
              </w:rPr>
              <w:t xml:space="preserve">extensionAttribute15</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String</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Fifteen string-valued extension attributes available on the device object.</w:t>
            </w:r>
          </w:p>
        </w:tc>
        <w:tc>
          <w:tcPr>
            <w:tcW w:type="pct" w:w="4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Primary mechanism for OrgPath encoding.</w:t>
            </w:r>
            <w:r>
              <w:rPr>
                <w:rFonts w:ascii="Calibri" w:cs="Calibri" w:eastAsia="Calibri" w:hAnsi="Calibri"/>
                <w:b w:val="false"/>
                <w:bCs w:val="false"/>
                <w:i w:val="false"/>
                <w:iCs w:val="false"/>
                <w:strike w:val="false"/>
                <w:color w:val="000000"/>
                <w:sz w:val="20"/>
                <w:szCs w:val="20"/>
              </w:rPr>
              <w:t xml:space="preserve"> These attributes carry the organizational metadata that AD stored structurally in the OU tree. Synced from on-premises via Entra Connect or set via Microsoft Graph API.</w:t>
            </w:r>
          </w:p>
        </w:tc>
      </w:tr>
      <w:tr>
        <w:trPr>
          <w:tblHeader w:val="false"/>
        </w:trPr>
        <w:tc>
          <w:tcPr>
            <w:tcW w:type="pct" w:w="16%"/>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deviceCategory</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String</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Intune device category assigned during or after enrollment.</w:t>
            </w:r>
          </w:p>
        </w:tc>
        <w:tc>
          <w:tcPr>
            <w:tcW w:type="pct" w:w="4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Can be used for coarse-grained device classification but limited to a single value. Not a substitute for multi-dimensional OrgPath.</w:t>
            </w:r>
          </w:p>
        </w:tc>
      </w:tr>
      <w:tr>
        <w:trPr>
          <w:tblHeader w:val="false"/>
        </w:trPr>
        <w:tc>
          <w:tcPr>
            <w:tcW w:type="pct" w:w="16%"/>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approximateLastSignInDateTime</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DateTime</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Approximate timestamp of the device's last sign-in activity.</w:t>
            </w:r>
          </w:p>
        </w:tc>
        <w:tc>
          <w:tcPr>
            <w:tcW w:type="pct" w:w="4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Primary signal for staleness detection. Devices exceeding SLA threshold without sign-in are flagged for investigation.</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FF4E0"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Important — Extension Attributes as Governance Infrastructure</w:t>
            </w:r>
          </w:p>
          <w:p>
            <w:pPr>
              <w:spacing w:after="120" w:line="360" w:lineRule="auto"/>
            </w:pPr>
            <w:r>
              <w:rPr>
                <w:rFonts w:ascii="Calibri" w:cs="Calibri" w:eastAsia="Calibri" w:hAnsi="Calibri"/>
                <w:b w:val="false"/>
                <w:bCs w:val="false"/>
                <w:i w:val="false"/>
                <w:iCs w:val="false"/>
                <w:strike w:val="false"/>
                <w:color w:val="000000"/>
                <w:sz w:val="22"/>
                <w:szCs w:val="22"/>
              </w:rPr>
              <w:t xml:space="preserve">Extension attributes (</w:t>
            </w:r>
            <w:r>
              <w:rPr>
                <w:rFonts w:ascii="Courier New" w:cs="Courier New" w:eastAsia="Courier New" w:hAnsi="Courier New"/>
                <w:b w:val="false"/>
                <w:bCs w:val="false"/>
                <w:i w:val="false"/>
                <w:iCs w:val="false"/>
                <w:color w:val="000000"/>
                <w:sz w:val="20"/>
                <w:szCs w:val="20"/>
                <w:shd w:fill="F3F4F6" w:color="auto" w:val="clear"/>
              </w:rPr>
              <w:t xml:space="preserve">extensionAttribute1</w:t>
            </w:r>
            <w:r>
              <w:rPr>
                <w:rFonts w:ascii="Calibri" w:cs="Calibri" w:eastAsia="Calibri" w:hAnsi="Calibri"/>
                <w:b w:val="false"/>
                <w:bCs w:val="false"/>
                <w:i w:val="false"/>
                <w:iCs w:val="false"/>
                <w:strike w:val="false"/>
                <w:color w:val="000000"/>
                <w:sz w:val="22"/>
                <w:szCs w:val="22"/>
              </w:rPr>
              <w:t xml:space="preserve">–</w:t>
            </w:r>
            <w:r>
              <w:rPr>
                <w:rFonts w:ascii="Courier New" w:cs="Courier New" w:eastAsia="Courier New" w:hAnsi="Courier New"/>
                <w:b w:val="false"/>
                <w:bCs w:val="false"/>
                <w:i w:val="false"/>
                <w:iCs w:val="false"/>
                <w:color w:val="000000"/>
                <w:sz w:val="20"/>
                <w:szCs w:val="20"/>
                <w:shd w:fill="F3F4F6" w:color="auto" w:val="clear"/>
              </w:rPr>
              <w:t xml:space="preserve">15</w:t>
            </w:r>
            <w:r>
              <w:rPr>
                <w:rFonts w:ascii="Calibri" w:cs="Calibri" w:eastAsia="Calibri" w:hAnsi="Calibri"/>
                <w:b w:val="false"/>
                <w:bCs w:val="false"/>
                <w:i w:val="false"/>
                <w:iCs w:val="false"/>
                <w:strike w:val="false"/>
                <w:color w:val="000000"/>
                <w:sz w:val="22"/>
                <w:szCs w:val="22"/>
              </w:rPr>
              <w:t xml:space="preserve">) are the primary mechanism for carrying forward organizational metadata that AD stored structurally in the OU tree. In Entra ID, there is no hierarchical namespace; all devices exist in a flat directory. Extension attributes provide the dimensional metadata needed for attribute-based group membership, policy targeting, and governance reporting. Their values must be treated as governed data — subject to controlled vocabularies, change control, and periodic reconciliation.</w:t>
            </w:r>
          </w:p>
        </w:tc>
      </w:tr>
    </w:tbl>
    <w:p>
      <w:pPr>
        <w:spacing w:after="240" w:before="0"/>
      </w:pPr>
    </w:p>
    <w:p>
      <w:pPr>
        <w:pStyle w:val="Heading2"/>
        <w:spacing w:after="120" w:before="360" w:line="312" w:lineRule="auto"/>
      </w:pPr>
      <w:r>
        <w:rPr>
          <w:rFonts w:ascii="Calibri" w:cs="Calibri" w:eastAsia="Calibri" w:hAnsi="Calibri"/>
          <w:color w:val="1A1A1A"/>
          <w:sz w:val="36"/>
          <w:szCs w:val="36"/>
        </w:rPr>
        <w:t xml:space="preserve">1.3 Identity Lifecycle Governance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Device identity lifecycle management in Entra ID encompasses four phases: registration, active governance, staleness detection, and decommissioning. Each phase has defined governance rules, responsible parties, and measurable SLAs.</w:t>
      </w:r>
    </w:p>
    <w:p>
      <w:pPr>
        <w:pStyle w:val="Heading3"/>
        <w:spacing w:after="120" w:before="240" w:line="312" w:lineRule="auto"/>
      </w:pPr>
      <w:r>
        <w:rPr>
          <w:rFonts w:ascii="Calibri" w:cs="Calibri" w:eastAsia="Calibri" w:hAnsi="Calibri"/>
          <w:color w:val="1A1A1A"/>
          <w:sz w:val="28"/>
          <w:szCs w:val="28"/>
        </w:rPr>
        <w:t xml:space="preserve">1.3.1 Device Registration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Entra ID supports three device registration models, each carrying a different trust level and governance posture: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Registration Model</w:t>
            </w:r>
          </w:p>
        </w:tc>
        <w:tc>
          <w:tcPr>
            <w:tcW w:type="pct" w:w="1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Trust Type</w:t>
            </w:r>
          </w:p>
        </w:tc>
        <w:tc>
          <w:tcPr>
            <w:tcW w:type="pct" w:w="27%"/>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Identity Assertion</w:t>
            </w:r>
          </w:p>
        </w:tc>
        <w:tc>
          <w:tcPr>
            <w:tcW w:type="pct" w:w="2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Governance Posture</w:t>
            </w:r>
          </w:p>
        </w:tc>
        <w:tc>
          <w:tcPr>
            <w:tcW w:type="pct" w:w="2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Applicable Device Types</w:t>
            </w:r>
          </w:p>
        </w:tc>
      </w:tr>
      <w:tr>
        <w:trPr>
          <w:tblHeader w:val="false"/>
        </w:trPr>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Entra Join</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AzureAd</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Cloud-native device identity. Primary Refresh Token (PRT) issued directly by Entra ID.</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Highest cloud trust. Full Intune management. No dependency on on-premises AD.</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Cloud-native workstations, new deployments, Autopilot-provisioned devices.</w:t>
            </w:r>
          </w:p>
        </w:tc>
      </w:tr>
      <w:tr>
        <w:trPr>
          <w:tblHeader w:val="false"/>
        </w:trPr>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Hybrid Entra Join</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ServerAd</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Dual identity: AD computer object + Entra device object. PRT issued via Entra Connect synchronization.</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Transitional posture. Maintains AD SID for legacy application compatibility. Requires Entra Connect Sync health.</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Existing domain-joined workstations and servers during migration period.</w:t>
            </w:r>
          </w:p>
        </w:tc>
      </w:tr>
      <w:tr>
        <w:trPr>
          <w:tblHeader w:val="false"/>
        </w:trPr>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Entra Registration</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Workplace</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Lightweight registration. Device is known to Entra ID but not joined. Limited PRT scope.</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Lowest trust. Suitable for BYOD and personal devices. Limited policy enforcement capability.</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BYOD devices, personal mobile devices, contractor equipment.</w:t>
            </w:r>
          </w:p>
        </w:tc>
      </w:tr>
    </w:tbl>
    <w:p>
      <w:pPr>
        <w:spacing w:after="200" w:before="0"/>
      </w:pPr>
    </w:p>
    <w:p>
      <w:pPr>
        <w:pStyle w:val="Heading3"/>
        <w:spacing w:after="120" w:before="240" w:line="312" w:lineRule="auto"/>
      </w:pPr>
      <w:r>
        <w:rPr>
          <w:rFonts w:ascii="Calibri" w:cs="Calibri" w:eastAsia="Calibri" w:hAnsi="Calibri"/>
          <w:color w:val="1A1A1A"/>
          <w:sz w:val="28"/>
          <w:szCs w:val="28"/>
        </w:rPr>
        <w:t xml:space="preserve">1.3.2 Staleness Detection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w:t>
      </w:r>
      <w:r>
        <w:rPr>
          <w:rFonts w:ascii="Courier New" w:cs="Courier New" w:eastAsia="Courier New" w:hAnsi="Courier New"/>
          <w:b w:val="false"/>
          <w:bCs w:val="false"/>
          <w:i w:val="false"/>
          <w:iCs w:val="false"/>
          <w:color w:val="000000"/>
          <w:sz w:val="20"/>
          <w:szCs w:val="20"/>
          <w:shd w:fill="F3F4F6" w:color="auto" w:val="clear"/>
        </w:rPr>
        <w:t xml:space="preserve">approximateLastSignInDateTime</w:t>
      </w:r>
      <w:r>
        <w:rPr>
          <w:rFonts w:ascii="Calibri" w:cs="Calibri" w:eastAsia="Calibri" w:hAnsi="Calibri"/>
          <w:b w:val="false"/>
          <w:bCs w:val="false"/>
          <w:i w:val="false"/>
          <w:iCs w:val="false"/>
          <w:strike w:val="false"/>
          <w:color w:val="000000"/>
          <w:sz w:val="22"/>
          <w:szCs w:val="22"/>
        </w:rPr>
        <w:t xml:space="preserve"> property is the primary staleness signal. Governance thresholds must be defined per device tier:</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Device Tier</w:t>
            </w:r>
          </w:p>
        </w:tc>
        <w:tc>
          <w:tcPr>
            <w:tcW w:type="pct" w:w="1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Staleness Warning Threshold</w:t>
            </w:r>
          </w:p>
        </w:tc>
        <w:tc>
          <w:tcPr>
            <w:tcW w:type="pct" w:w="1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Staleness Action Threshold</w:t>
            </w:r>
          </w:p>
        </w:tc>
        <w:tc>
          <w:tcPr>
            <w:tcW w:type="pct" w:w="4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Action</w:t>
            </w:r>
          </w:p>
        </w:tc>
      </w:tr>
      <w:tr>
        <w:trPr>
          <w:tblHeader w:val="false"/>
        </w:trPr>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Tier 0 (Identity Infrastructure)</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7 days</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14 days</w:t>
            </w:r>
          </w:p>
        </w:tc>
        <w:tc>
          <w:tcPr>
            <w:tcW w:type="pct" w:w="4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Immediate investigation; escalate to identity operations</w:t>
            </w:r>
          </w:p>
        </w:tc>
      </w:tr>
      <w:tr>
        <w:trPr>
          <w:tblHeader w:val="false"/>
        </w:trPr>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Tier 1 (Application Servers)</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14 days</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30 days</w:t>
            </w:r>
          </w:p>
        </w:tc>
        <w:tc>
          <w:tcPr>
            <w:tcW w:type="pct" w:w="4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Disable device object; notify workload owner</w:t>
            </w:r>
          </w:p>
        </w:tc>
      </w:tr>
      <w:tr>
        <w:trPr>
          <w:tblHeader w:val="false"/>
        </w:trPr>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Tier 2 (Workstations/Endpoints)</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30 days</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90 days</w:t>
            </w:r>
          </w:p>
        </w:tc>
        <w:tc>
          <w:tcPr>
            <w:tcW w:type="pct" w:w="4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Disable device object; hold for 30 days; then delete</w:t>
            </w:r>
          </w:p>
        </w:tc>
      </w:tr>
    </w:tbl>
    <w:p>
      <w:pPr>
        <w:spacing w:after="200" w:before="0"/>
      </w:pPr>
    </w:p>
    <w:p>
      <w:pPr>
        <w:pStyle w:val="Heading3"/>
        <w:spacing w:after="120" w:before="240" w:line="312" w:lineRule="auto"/>
      </w:pPr>
      <w:r>
        <w:rPr>
          <w:rFonts w:ascii="Calibri" w:cs="Calibri" w:eastAsia="Calibri" w:hAnsi="Calibri"/>
          <w:color w:val="1A1A1A"/>
          <w:sz w:val="28"/>
          <w:szCs w:val="28"/>
        </w:rPr>
        <w:t xml:space="preserve">1.3.3 Decommissioning</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Device decommissioning follows a two-phase process to prevent premature data loss while maintaining governance hygiene: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Disable:</w:t>
      </w:r>
      <w:r>
        <w:rPr>
          <w:rFonts w:ascii="Calibri" w:cs="Calibri" w:eastAsia="Calibri" w:hAnsi="Calibri"/>
          <w:b w:val="false"/>
          <w:bCs w:val="false"/>
          <w:i w:val="false"/>
          <w:iCs w:val="false"/>
          <w:strike w:val="false"/>
          <w:color w:val="000000"/>
          <w:sz w:val="22"/>
          <w:szCs w:val="22"/>
        </w:rPr>
        <w:t xml:space="preserve"> Set the device account to disabled in Entra ID. The device can no longer obtain tokens or pass Conditional Access device-based controls. Intune compliance status transitions to "Not Evaluated." The device object is retained for audit and forensic purposes.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Delete:</w:t>
      </w:r>
      <w:r>
        <w:rPr>
          <w:rFonts w:ascii="Calibri" w:cs="Calibri" w:eastAsia="Calibri" w:hAnsi="Calibri"/>
          <w:b w:val="false"/>
          <w:bCs w:val="false"/>
          <w:i w:val="false"/>
          <w:iCs w:val="false"/>
          <w:strike w:val="false"/>
          <w:color w:val="000000"/>
          <w:sz w:val="22"/>
          <w:szCs w:val="22"/>
        </w:rPr>
        <w:t xml:space="preserve"> After the retention period (defined per tier), delete the device object from Entra ID. This action is irreversible — the </w:t>
      </w:r>
      <w:r>
        <w:rPr>
          <w:rFonts w:ascii="Courier New" w:cs="Courier New" w:eastAsia="Courier New" w:hAnsi="Courier New"/>
          <w:b w:val="false"/>
          <w:bCs w:val="false"/>
          <w:i w:val="false"/>
          <w:iCs w:val="false"/>
          <w:color w:val="000000"/>
          <w:sz w:val="20"/>
          <w:szCs w:val="20"/>
          <w:shd w:fill="F3F4F6" w:color="auto" w:val="clear"/>
        </w:rPr>
        <w:t xml:space="preserve">deviceId</w:t>
      </w:r>
      <w:r>
        <w:rPr>
          <w:rFonts w:ascii="Calibri" w:cs="Calibri" w:eastAsia="Calibri" w:hAnsi="Calibri"/>
          <w:b w:val="false"/>
          <w:bCs w:val="false"/>
          <w:i w:val="false"/>
          <w:iCs w:val="false"/>
          <w:strike w:val="false"/>
          <w:color w:val="000000"/>
          <w:sz w:val="22"/>
          <w:szCs w:val="22"/>
        </w:rPr>
        <w:t xml:space="preserve"> is not recoverable. Ensure all dependent audit logs, Intune device records, and Defender for Endpoint alerts have been archived before deletion.</w:t>
      </w:r>
    </w:p>
    <w:p>
      <w:pPr>
        <w:pStyle w:val="Heading3"/>
        <w:spacing w:after="120" w:before="240" w:line="312" w:lineRule="auto"/>
      </w:pPr>
      <w:r>
        <w:rPr>
          <w:rFonts w:ascii="Calibri" w:cs="Calibri" w:eastAsia="Calibri" w:hAnsi="Calibri"/>
          <w:color w:val="1A1A1A"/>
          <w:sz w:val="28"/>
          <w:szCs w:val="28"/>
        </w:rPr>
        <w:t xml:space="preserve">1.3.4 Orphan Detection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 device is classified as orphaned when any of the following conditions are true: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w:t>
      </w:r>
      <w:r>
        <w:rPr>
          <w:rFonts w:ascii="Courier New" w:cs="Courier New" w:eastAsia="Courier New" w:hAnsi="Courier New"/>
          <w:b w:val="false"/>
          <w:bCs w:val="false"/>
          <w:i w:val="false"/>
          <w:iCs w:val="false"/>
          <w:color w:val="000000"/>
          <w:sz w:val="20"/>
          <w:szCs w:val="20"/>
          <w:shd w:fill="F3F4F6" w:color="auto" w:val="clear"/>
        </w:rPr>
        <w:t xml:space="preserve">registeredOwners</w:t>
      </w:r>
      <w:r>
        <w:rPr>
          <w:rFonts w:ascii="Calibri" w:cs="Calibri" w:eastAsia="Calibri" w:hAnsi="Calibri"/>
          <w:b w:val="false"/>
          <w:bCs w:val="false"/>
          <w:i w:val="false"/>
          <w:iCs w:val="false"/>
          <w:strike w:val="false"/>
          <w:color w:val="000000"/>
          <w:sz w:val="22"/>
          <w:szCs w:val="22"/>
        </w:rPr>
        <w:t xml:space="preserve"> collection is empty (no accountable owner)</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All registered owners have been disabled or deleted from Entra ID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No sign-in activity beyond the staleness action threshold for the device's tier</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device is not enrolled in any management solution (</w:t>
      </w:r>
      <w:r>
        <w:rPr>
          <w:rFonts w:ascii="Courier New" w:cs="Courier New" w:eastAsia="Courier New" w:hAnsi="Courier New"/>
          <w:b w:val="false"/>
          <w:bCs w:val="false"/>
          <w:i w:val="false"/>
          <w:iCs w:val="false"/>
          <w:color w:val="000000"/>
          <w:sz w:val="20"/>
          <w:szCs w:val="20"/>
          <w:shd w:fill="F3F4F6" w:color="auto" w:val="clear"/>
        </w:rPr>
        <w:t xml:space="preserve">isManaged</w:t>
      </w:r>
      <w:r>
        <w:rPr>
          <w:rFonts w:ascii="Calibri" w:cs="Calibri" w:eastAsia="Calibri" w:hAnsi="Calibri"/>
          <w:b w:val="false"/>
          <w:bCs w:val="false"/>
          <w:i w:val="false"/>
          <w:iCs w:val="false"/>
          <w:strike w:val="false"/>
          <w:color w:val="000000"/>
          <w:sz w:val="22"/>
          <w:szCs w:val="22"/>
        </w:rPr>
        <w:t xml:space="preserve"> = false) and has no compliance evaluation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Orphaned devices must be flagged in weekly governance reports and investigated within the SLA defined for the device's tier. Persistent orphans that cannot be attributed to an owner must be disabled and scheduled for deletion.</w:t>
      </w:r>
    </w:p>
    <w:p>
      <w:pPr>
        <w:pStyle w:val="Heading1"/>
        <w:spacing w:after="120" w:before="480" w:line="312" w:lineRule="auto"/>
      </w:pPr>
      <w:r>
        <w:rPr>
          <w:rFonts w:ascii="Calibri" w:cs="Calibri" w:eastAsia="Calibri" w:hAnsi="Calibri"/>
          <w:color w:val="1A1A1A"/>
          <w:sz w:val="48"/>
          <w:szCs w:val="48"/>
        </w:rPr>
        <w:t xml:space="preserve">2. OrgPath for Devices — Replacing OU Structure with Attribute-Based Targeting</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In Active Directory, the Organizational Unit (OU) tree serves dual purposes: it provides a human-readable organizational taxonomy, and it functions as the primary policy-targeting mechanism through GPO linkage. Computers inherit Group Policy based on their OU placement, creating an implicit relationship between organizational structure and configuration state. Entra ID has no OU equivalent — it is a flat namespace in which all device objects exist at the same hierarchical level.</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w:t>
      </w:r>
      <w:r>
        <w:rPr>
          <w:rFonts w:ascii="Calibri" w:cs="Calibri" w:eastAsia="Calibri" w:hAnsi="Calibri"/>
          <w:b/>
          <w:bCs/>
          <w:i w:val="false"/>
          <w:iCs w:val="false"/>
          <w:strike w:val="false"/>
          <w:color w:val="000000"/>
          <w:sz w:val="22"/>
          <w:szCs w:val="22"/>
        </w:rPr>
        <w:t xml:space="preserve">OrgPath pattern</w:t>
      </w:r>
      <w:r>
        <w:rPr>
          <w:rFonts w:ascii="Calibri" w:cs="Calibri" w:eastAsia="Calibri" w:hAnsi="Calibri"/>
          <w:b w:val="false"/>
          <w:bCs w:val="false"/>
          <w:i w:val="false"/>
          <w:iCs w:val="false"/>
          <w:strike w:val="false"/>
          <w:color w:val="000000"/>
          <w:sz w:val="22"/>
          <w:szCs w:val="22"/>
        </w:rPr>
        <w:t xml:space="preserve"> addresses this architectural gap by encoding the governance-relevant dimensions formerly carried by the OU hierarchy into device extension attributes. These attributes enable attribute-based dynamic group membership, which replicates — and in many cases surpasses — the policy-targeting capability of OU-linked GPOs.</w:t>
      </w:r>
    </w:p>
    <w:p>
      <w:pPr>
        <w:pStyle w:val="Heading2"/>
        <w:spacing w:after="120" w:before="360" w:line="312" w:lineRule="auto"/>
      </w:pPr>
      <w:r>
        <w:rPr>
          <w:rFonts w:ascii="Calibri" w:cs="Calibri" w:eastAsia="Calibri" w:hAnsi="Calibri"/>
          <w:color w:val="1A1A1A"/>
          <w:sz w:val="36"/>
          <w:szCs w:val="36"/>
        </w:rPr>
        <w:t xml:space="preserve">2.1 OrgPath Design Principles</w:t>
      </w:r>
    </w:p>
    <w:p>
      <w:pPr>
        <w:pStyle w:val="Heading3"/>
        <w:spacing w:after="120" w:before="240" w:line="312" w:lineRule="auto"/>
      </w:pPr>
      <w:r>
        <w:rPr>
          <w:rFonts w:ascii="Calibri" w:cs="Calibri" w:eastAsia="Calibri" w:hAnsi="Calibri"/>
          <w:color w:val="1A1A1A"/>
          <w:sz w:val="28"/>
          <w:szCs w:val="28"/>
        </w:rPr>
        <w:t xml:space="preserve">Principle 1: Flatten, Do Not Replicate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goal of OrgPath is not to mirror the existing AD OU tree in extension attributes. Many OU structures evolved organically over years, accumulating delegation boundaries, legacy naming conventions, and structural anomalies that serve no governance purpose. OrgPath extracts the governance-relevant dimensions that the OU tree encodes — location, department, device tier, environment, device role — and represents them as independent, canonical attributes.</w:t>
      </w:r>
    </w:p>
    <w:p>
      <w:pPr>
        <w:pStyle w:val="Heading3"/>
        <w:spacing w:after="120" w:before="240" w:line="312" w:lineRule="auto"/>
      </w:pPr>
      <w:r>
        <w:rPr>
          <w:rFonts w:ascii="Calibri" w:cs="Calibri" w:eastAsia="Calibri" w:hAnsi="Calibri"/>
          <w:color w:val="1A1A1A"/>
          <w:sz w:val="28"/>
          <w:szCs w:val="28"/>
        </w:rPr>
        <w:t xml:space="preserve">Principle 2: Canonical Dimensions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OrgPath defines a standard set of organizational dimensions. Each dimension is assigned to a specific extension attribute with a controlled vocabulary of allowed values. The canonical dimensions are: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OrgPath Dimension</w:t>
            </w:r>
          </w:p>
        </w:tc>
        <w:tc>
          <w:tcPr>
            <w:tcW w:type="pct" w:w="16%"/>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Extension Attribute</w:t>
            </w:r>
          </w:p>
        </w:tc>
        <w:tc>
          <w:tcPr>
            <w:tcW w:type="pct" w:w="3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Description</w:t>
            </w:r>
          </w:p>
        </w:tc>
        <w:tc>
          <w:tcPr>
            <w:tcW w:type="pct" w:w="36%"/>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Example Values</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Region</w:t>
            </w:r>
          </w:p>
        </w:tc>
        <w:tc>
          <w:tcPr>
            <w:tcW w:type="pct" w:w="16%"/>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extensionAttribute1</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Geographic region for the device's primary operating location.</w:t>
            </w:r>
          </w:p>
        </w:tc>
        <w:tc>
          <w:tcPr>
            <w:tcW w:type="pct" w:w="3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US-East, US-West, EU-West, EU-North, APAC-South, APAC-East</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Site</w:t>
            </w:r>
          </w:p>
        </w:tc>
        <w:tc>
          <w:tcPr>
            <w:tcW w:type="pct" w:w="16%"/>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extensionAttribute2</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Physical site or campus identifier.</w:t>
            </w:r>
          </w:p>
        </w:tc>
        <w:tc>
          <w:tcPr>
            <w:tcW w:type="pct" w:w="3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NYC-HQ, LAX-DC1, LON-OFC2, SYD-BR1, SEA-LAB</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Department</w:t>
            </w:r>
          </w:p>
        </w:tc>
        <w:tc>
          <w:tcPr>
            <w:tcW w:type="pct" w:w="16%"/>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extensionAttribute3</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Business unit or department that owns or operates the device.</w:t>
            </w:r>
          </w:p>
        </w:tc>
        <w:tc>
          <w:tcPr>
            <w:tcW w:type="pct" w:w="3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Finance, Engineering, HR, Legal, Operations, IT-Infra, Security</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DeviceTier</w:t>
            </w:r>
          </w:p>
        </w:tc>
        <w:tc>
          <w:tcPr>
            <w:tcW w:type="pct" w:w="16%"/>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extensionAttribute4</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Enterprise access tier per the tiered administration model.</w:t>
            </w:r>
          </w:p>
        </w:tc>
        <w:tc>
          <w:tcPr>
            <w:tcW w:type="pct" w:w="3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Tier0, Tier1, Tier2</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Environment</w:t>
            </w:r>
          </w:p>
        </w:tc>
        <w:tc>
          <w:tcPr>
            <w:tcW w:type="pct" w:w="16%"/>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extensionAttribute5</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Deployment environment classification.</w:t>
            </w:r>
          </w:p>
        </w:tc>
        <w:tc>
          <w:tcPr>
            <w:tcW w:type="pct" w:w="3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Production, Staging, Development, Test, DR</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DeviceRole</w:t>
            </w:r>
          </w:p>
        </w:tc>
        <w:tc>
          <w:tcPr>
            <w:tcW w:type="pct" w:w="16%"/>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extensionAttribute6</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Functional role of the device.</w:t>
            </w:r>
          </w:p>
        </w:tc>
        <w:tc>
          <w:tcPr>
            <w:tcW w:type="pct" w:w="3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Workstation, Server, Kiosk, ConferenceRoom, PrintServer, JumpBox</w:t>
            </w:r>
          </w:p>
        </w:tc>
      </w:tr>
    </w:tbl>
    <w:p>
      <w:pPr>
        <w:spacing w:after="200" w:before="0"/>
      </w:pPr>
    </w:p>
    <w:p>
      <w:pPr>
        <w:pStyle w:val="Heading3"/>
        <w:spacing w:after="120" w:before="240" w:line="312" w:lineRule="auto"/>
      </w:pPr>
      <w:r>
        <w:rPr>
          <w:rFonts w:ascii="Calibri" w:cs="Calibri" w:eastAsia="Calibri" w:hAnsi="Calibri"/>
          <w:color w:val="1A1A1A"/>
          <w:sz w:val="28"/>
          <w:szCs w:val="28"/>
        </w:rPr>
        <w:t xml:space="preserve">Principle 3: Controlled Vocabulary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Each OrgPath dimension must draw from a canonical value list maintained in a governance registry (see Appendix A). Free-text values are prohibited. New values require governance approval and registry update before use. This ensures that dynamic group rules remain deterministic and that governance reporting produces consistent, aggregatable results.</w:t>
      </w:r>
    </w:p>
    <w:p>
      <w:pPr>
        <w:pStyle w:val="Heading3"/>
        <w:spacing w:after="120" w:before="240" w:line="312" w:lineRule="auto"/>
      </w:pPr>
      <w:r>
        <w:rPr>
          <w:rFonts w:ascii="Calibri" w:cs="Calibri" w:eastAsia="Calibri" w:hAnsi="Calibri"/>
          <w:color w:val="1A1A1A"/>
          <w:sz w:val="28"/>
          <w:szCs w:val="28"/>
        </w:rPr>
        <w:t xml:space="preserve">Principle 4: Mandatory Population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Every device must have all six canonical OrgPath dimensions populated. Missing values constitute governance violations that must be remediated within the defined SLA. Devices with incomplete OrgPath attributes will not match expected dynamic group rules and may fall outside policy scope — a silent governance gap.</w:t>
      </w:r>
    </w:p>
    <w:p>
      <w:pPr>
        <w:pStyle w:val="Heading2"/>
        <w:spacing w:after="120" w:before="360" w:line="312" w:lineRule="auto"/>
      </w:pPr>
      <w:r>
        <w:rPr>
          <w:rFonts w:ascii="Calibri" w:cs="Calibri" w:eastAsia="Calibri" w:hAnsi="Calibri"/>
          <w:color w:val="1A1A1A"/>
          <w:sz w:val="36"/>
          <w:szCs w:val="36"/>
        </w:rPr>
        <w:t xml:space="preserve">2.2 Populating OrgPath Attributes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OrgPath attribute population varies by device registration model and management surface. Three distinct patterns apply:</w:t>
      </w:r>
    </w:p>
    <w:p>
      <w:pPr>
        <w:pStyle w:val="Heading3"/>
        <w:spacing w:after="120" w:before="240" w:line="312" w:lineRule="auto"/>
      </w:pPr>
      <w:r>
        <w:rPr>
          <w:rFonts w:ascii="Calibri" w:cs="Calibri" w:eastAsia="Calibri" w:hAnsi="Calibri"/>
          <w:color w:val="1A1A1A"/>
          <w:sz w:val="28"/>
          <w:szCs w:val="28"/>
        </w:rPr>
        <w:t xml:space="preserve">2.2.1 Hybrid-Joined Devices (via Entra Connect Sync or Cloud Sync)</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For devices that maintain an on-premises AD computer object, OrgPath attributes are populated on-premises and synchronized to Entra ID via Entra Connect Sync or Entra Cloud Sync. The recommended approach is to extract OU path components and write them to extension attributes on the AD computer object, then allow the sync engine to replicate them to Entra ID.</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PowerShell pattern for OU-path-to-extension-attribute extraction:</w:t>
      </w:r>
    </w:p>
    <w:p>
      <w:pPr>
        <w:spacing w:after="120" w:before="60" w:line="360" w:lineRule="auto"/>
      </w:pPr>
      <w:r>
        <w:rPr>
          <w:rFonts w:ascii="Courier New" w:cs="Courier New" w:eastAsia="Courier New" w:hAnsi="Courier New"/>
          <w:b w:val="false"/>
          <w:bCs w:val="false"/>
          <w:i w:val="false"/>
          <w:iCs w:val="false"/>
          <w:color w:val="000000"/>
          <w:sz w:val="20"/>
          <w:szCs w:val="20"/>
          <w:shd w:fill="F3F4F6" w:color="auto" w:val="clear"/>
        </w:rPr>
        <w:t xml:space="preserve">$computer = Get-ADComputer -Identity "WKS-NYC-001" -Properties CanonicalName</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$ouComponents = $computer.CanonicalName.Split('/')</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Set-ADComputer -Identity "WKS-NYC-001" -Replace @{extensionAttribute1="US-East"; extensionAttribute2="NYC-HQ"; extensionAttribute3="Finance"; extensionAttribute4="Tier2"; extensionAttribute5="Production"; extensionAttribute6="Workstation"}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5F5F5"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Note — Sync Attribute Flow</w:t>
            </w:r>
          </w:p>
          <w:p>
            <w:pPr>
              <w:spacing w:after="120" w:line="360" w:lineRule="auto"/>
            </w:pPr>
            <w:r>
              <w:rPr>
                <w:rFonts w:ascii="Calibri" w:cs="Calibri" w:eastAsia="Calibri" w:hAnsi="Calibri"/>
                <w:b w:val="false"/>
                <w:bCs w:val="false"/>
                <w:i w:val="false"/>
                <w:iCs w:val="false"/>
                <w:strike w:val="false"/>
                <w:color w:val="000000"/>
                <w:sz w:val="22"/>
                <w:szCs w:val="22"/>
              </w:rPr>
              <w:t xml:space="preserve">Ensure that </w:t>
            </w:r>
            <w:r>
              <w:rPr>
                <w:rFonts w:ascii="Courier New" w:cs="Courier New" w:eastAsia="Courier New" w:hAnsi="Courier New"/>
                <w:b w:val="false"/>
                <w:bCs w:val="false"/>
                <w:i w:val="false"/>
                <w:iCs w:val="false"/>
                <w:color w:val="000000"/>
                <w:sz w:val="20"/>
                <w:szCs w:val="20"/>
                <w:shd w:fill="F3F4F6" w:color="auto" w:val="clear"/>
              </w:rPr>
              <w:t xml:space="preserve">extensionAttribute1</w:t>
            </w:r>
            <w:r>
              <w:rPr>
                <w:rFonts w:ascii="Calibri" w:cs="Calibri" w:eastAsia="Calibri" w:hAnsi="Calibri"/>
                <w:b w:val="false"/>
                <w:bCs w:val="false"/>
                <w:i w:val="false"/>
                <w:iCs w:val="false"/>
                <w:strike w:val="false"/>
                <w:color w:val="000000"/>
                <w:sz w:val="22"/>
                <w:szCs w:val="22"/>
              </w:rPr>
              <w:t xml:space="preserve"> through </w:t>
            </w:r>
            <w:r>
              <w:rPr>
                <w:rFonts w:ascii="Courier New" w:cs="Courier New" w:eastAsia="Courier New" w:hAnsi="Courier New"/>
                <w:b w:val="false"/>
                <w:bCs w:val="false"/>
                <w:i w:val="false"/>
                <w:iCs w:val="false"/>
                <w:color w:val="000000"/>
                <w:sz w:val="20"/>
                <w:szCs w:val="20"/>
                <w:shd w:fill="F3F4F6" w:color="auto" w:val="clear"/>
              </w:rPr>
              <w:t xml:space="preserve">extensionAttribute15</w:t>
            </w:r>
            <w:r>
              <w:rPr>
                <w:rFonts w:ascii="Calibri" w:cs="Calibri" w:eastAsia="Calibri" w:hAnsi="Calibri"/>
                <w:b w:val="false"/>
                <w:bCs w:val="false"/>
                <w:i w:val="false"/>
                <w:iCs w:val="false"/>
                <w:strike w:val="false"/>
                <w:color w:val="000000"/>
                <w:sz w:val="22"/>
                <w:szCs w:val="22"/>
              </w:rPr>
              <w:t xml:space="preserve"> are included in the Entra Connect Sync attribute flow for device objects. By default, only a subset of computer object attributes is synchronized. The sync rule must be customized to include extension attributes for the OrgPath pattern to function.</w:t>
            </w:r>
          </w:p>
        </w:tc>
      </w:tr>
    </w:tbl>
    <w:p>
      <w:pPr>
        <w:spacing w:after="240" w:before="0"/>
      </w:pPr>
    </w:p>
    <w:p>
      <w:pPr>
        <w:pStyle w:val="Heading3"/>
        <w:spacing w:after="120" w:before="240" w:line="312" w:lineRule="auto"/>
      </w:pPr>
      <w:r>
        <w:rPr>
          <w:rFonts w:ascii="Calibri" w:cs="Calibri" w:eastAsia="Calibri" w:hAnsi="Calibri"/>
          <w:color w:val="1A1A1A"/>
          <w:sz w:val="28"/>
          <w:szCs w:val="28"/>
        </w:rPr>
        <w:t xml:space="preserve">2.2.2 Cloud-Native Devices (via Intune or Graph API)</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For Entra-joined devices with no on-premises AD object, OrgPath attributes are populated through one of the following mechanisms: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Autopilot Deployment Profile:</w:t>
      </w:r>
      <w:r>
        <w:rPr>
          <w:rFonts w:ascii="Calibri" w:cs="Calibri" w:eastAsia="Calibri" w:hAnsi="Calibri"/>
          <w:b w:val="false"/>
          <w:bCs w:val="false"/>
          <w:i w:val="false"/>
          <w:iCs w:val="false"/>
          <w:strike w:val="false"/>
          <w:color w:val="000000"/>
          <w:sz w:val="22"/>
          <w:szCs w:val="22"/>
        </w:rPr>
        <w:t xml:space="preserve"> Assign a device category during Autopilot enrollment that triggers a provisioning workflow to stamp OrgPath attributes via Microsoft Graph API.</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Intune Platform Script:</w:t>
      </w:r>
      <w:r>
        <w:rPr>
          <w:rFonts w:ascii="Calibri" w:cs="Calibri" w:eastAsia="Calibri" w:hAnsi="Calibri"/>
          <w:b w:val="false"/>
          <w:bCs w:val="false"/>
          <w:i w:val="false"/>
          <w:iCs w:val="false"/>
          <w:strike w:val="false"/>
          <w:color w:val="000000"/>
          <w:sz w:val="22"/>
          <w:szCs w:val="22"/>
        </w:rPr>
        <w:t xml:space="preserve"> Deploy a PowerShell script via Intune that calls the Microsoft Graph API to set extension attributes based on device naming convention, IP subnet, or other deterministic signals.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Microsoft Graph API (Direct):</w:t>
      </w:r>
      <w:r>
        <w:rPr>
          <w:rFonts w:ascii="Calibri" w:cs="Calibri" w:eastAsia="Calibri" w:hAnsi="Calibri"/>
          <w:b w:val="false"/>
          <w:bCs w:val="false"/>
          <w:i w:val="false"/>
          <w:iCs w:val="false"/>
          <w:strike w:val="false"/>
          <w:color w:val="000000"/>
          <w:sz w:val="22"/>
          <w:szCs w:val="22"/>
        </w:rPr>
        <w:t xml:space="preserve"> Use an authenticated service principal to set extension attributes programmatically as part of the device provisioning pipeline.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Graph API call pattern:</w:t>
      </w:r>
    </w:p>
    <w:p>
      <w:pPr>
        <w:spacing w:after="120" w:before="60" w:line="360" w:lineRule="auto"/>
      </w:pPr>
      <w:r>
        <w:rPr>
          <w:rFonts w:ascii="Courier New" w:cs="Courier New" w:eastAsia="Courier New" w:hAnsi="Courier New"/>
          <w:b w:val="false"/>
          <w:bCs w:val="false"/>
          <w:i w:val="false"/>
          <w:iCs w:val="false"/>
          <w:color w:val="000000"/>
          <w:sz w:val="20"/>
          <w:szCs w:val="20"/>
          <w:shd w:fill="F3F4F6" w:color="auto" w:val="clear"/>
        </w:rPr>
        <w:t xml:space="preserve">PATCH https://graph.microsoft.com/v1.0/devices/{deviceId}</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 "extensionAttributes": { "extensionAttribute1": "US-East", "extensionAttribute2": "NYC-HQ", ... } }</w:t>
      </w:r>
    </w:p>
    <w:p>
      <w:pPr>
        <w:pStyle w:val="Heading3"/>
        <w:spacing w:after="120" w:before="240" w:line="312" w:lineRule="auto"/>
      </w:pPr>
      <w:r>
        <w:rPr>
          <w:rFonts w:ascii="Calibri" w:cs="Calibri" w:eastAsia="Calibri" w:hAnsi="Calibri"/>
          <w:color w:val="1A1A1A"/>
          <w:sz w:val="28"/>
          <w:szCs w:val="28"/>
        </w:rPr>
        <w:t xml:space="preserve">2.2.3 Arc-Enrolled Servers (via Azure Tags)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Azure Arc-enabled servers are Azure resource objects in Azure Resource Manager, not Entra ID device objects. OrgPath metadata for Arc servers is encoded in Azure resource tags rather than extension attributes. The tag schema must mirror the OrgPath dimension structure for cross-platform governance consistency: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OrgPath Dimension</w:t>
            </w:r>
          </w:p>
        </w:tc>
        <w:tc>
          <w:tcPr>
            <w:tcW w:type="pct" w:w="3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Entra Extension Attribute</w:t>
            </w:r>
          </w:p>
        </w:tc>
        <w:tc>
          <w:tcPr>
            <w:tcW w:type="pct" w:w="3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Azure Tag Key</w:t>
            </w:r>
          </w:p>
        </w:tc>
        <w:tc>
          <w:tcPr>
            <w:tcW w:type="pct" w:w="1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Example Tag Value</w:t>
            </w:r>
          </w:p>
        </w:tc>
      </w:tr>
      <w:tr>
        <w:trPr>
          <w:tblHeader w:val="false"/>
        </w:trPr>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Region</w:t>
            </w:r>
          </w:p>
        </w:tc>
        <w:tc>
          <w:tcPr>
            <w:tcW w:type="pct" w:w="30%"/>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extensionAttribute1</w:t>
            </w:r>
          </w:p>
        </w:tc>
        <w:tc>
          <w:tcPr>
            <w:tcW w:type="pct" w:w="30%"/>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OrgPath-Region</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US-East</w:t>
            </w:r>
          </w:p>
        </w:tc>
      </w:tr>
      <w:tr>
        <w:trPr>
          <w:tblHeader w:val="false"/>
        </w:trPr>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Site</w:t>
            </w:r>
          </w:p>
        </w:tc>
        <w:tc>
          <w:tcPr>
            <w:tcW w:type="pct" w:w="30%"/>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extensionAttribute2</w:t>
            </w:r>
          </w:p>
        </w:tc>
        <w:tc>
          <w:tcPr>
            <w:tcW w:type="pct" w:w="30%"/>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OrgPath-Site</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NYC-DC1</w:t>
            </w:r>
          </w:p>
        </w:tc>
      </w:tr>
      <w:tr>
        <w:trPr>
          <w:tblHeader w:val="false"/>
        </w:trPr>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Department</w:t>
            </w:r>
          </w:p>
        </w:tc>
        <w:tc>
          <w:tcPr>
            <w:tcW w:type="pct" w:w="30%"/>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extensionAttribute3</w:t>
            </w:r>
          </w:p>
        </w:tc>
        <w:tc>
          <w:tcPr>
            <w:tcW w:type="pct" w:w="30%"/>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OrgPath-Department</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IT-Infra</w:t>
            </w:r>
          </w:p>
        </w:tc>
      </w:tr>
      <w:tr>
        <w:trPr>
          <w:tblHeader w:val="false"/>
        </w:trPr>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DeviceTier</w:t>
            </w:r>
          </w:p>
        </w:tc>
        <w:tc>
          <w:tcPr>
            <w:tcW w:type="pct" w:w="30%"/>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extensionAttribute4</w:t>
            </w:r>
          </w:p>
        </w:tc>
        <w:tc>
          <w:tcPr>
            <w:tcW w:type="pct" w:w="30%"/>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OrgPath-DeviceTier</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Tier1</w:t>
            </w:r>
          </w:p>
        </w:tc>
      </w:tr>
      <w:tr>
        <w:trPr>
          <w:tblHeader w:val="false"/>
        </w:trPr>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Environment</w:t>
            </w:r>
          </w:p>
        </w:tc>
        <w:tc>
          <w:tcPr>
            <w:tcW w:type="pct" w:w="30%"/>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extensionAttribute5</w:t>
            </w:r>
          </w:p>
        </w:tc>
        <w:tc>
          <w:tcPr>
            <w:tcW w:type="pct" w:w="30%"/>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OrgPath-Environment</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Production</w:t>
            </w:r>
          </w:p>
        </w:tc>
      </w:tr>
      <w:tr>
        <w:trPr>
          <w:tblHeader w:val="false"/>
        </w:trPr>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DeviceRole</w:t>
            </w:r>
          </w:p>
        </w:tc>
        <w:tc>
          <w:tcPr>
            <w:tcW w:type="pct" w:w="30%"/>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extensionAttribute6</w:t>
            </w:r>
          </w:p>
        </w:tc>
        <w:tc>
          <w:tcPr>
            <w:tcW w:type="pct" w:w="30%"/>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OrgPath-DeviceRole</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Server</w:t>
            </w:r>
          </w:p>
        </w:tc>
      </w:tr>
    </w:tbl>
    <w:p>
      <w:pPr>
        <w:spacing w:after="20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For servers that are both Hybrid Entra Joined and Arc-enrolled, both the extension attributes and Azure tags must be populated and reconciled. Discrepancies between the two representations constitute a governance violation requiring investigation and remediation.</w:t>
      </w:r>
    </w:p>
    <w:p>
      <w:pPr>
        <w:pStyle w:val="Heading2"/>
        <w:spacing w:after="120" w:before="360" w:line="312" w:lineRule="auto"/>
      </w:pPr>
      <w:r>
        <w:rPr>
          <w:rFonts w:ascii="Calibri" w:cs="Calibri" w:eastAsia="Calibri" w:hAnsi="Calibri"/>
          <w:color w:val="1A1A1A"/>
          <w:sz w:val="36"/>
          <w:szCs w:val="36"/>
        </w:rPr>
        <w:t xml:space="preserve">2.3 OrgPath Governance Rules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Rule ID</w:t>
            </w:r>
          </w:p>
        </w:tc>
        <w:tc>
          <w:tcPr>
            <w:tcW w:type="pct" w:w="4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Governance Rule</w:t>
            </w:r>
          </w:p>
        </w:tc>
        <w:tc>
          <w:tcPr>
            <w:tcW w:type="pct" w:w="3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Enforcement Mechanism</w:t>
            </w:r>
          </w:p>
        </w:tc>
        <w:tc>
          <w:tcPr>
            <w:tcW w:type="pct" w:w="1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Violation Severity</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ORG-001</w:t>
            </w:r>
          </w:p>
        </w:tc>
        <w:tc>
          <w:tcPr>
            <w:tcW w:type="pct" w:w="4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Every device MUST have all six canonical OrgPath dimensions populated.</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Weekly automated scan via Microsoft Graph API; report devices with null or empty OrgPath attributes.</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High</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ORG-002</w:t>
            </w:r>
          </w:p>
        </w:tc>
        <w:tc>
          <w:tcPr>
            <w:tcW w:type="pct" w:w="4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OrgPath values MUST come from the controlled vocabulary defined in the OrgPath Attribute Registry (Appendix A).</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Validation script executed post-sync and post-provisioning; non-canonical values flagged for correction.</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High</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ORG-003</w:t>
            </w:r>
          </w:p>
        </w:tc>
        <w:tc>
          <w:tcPr>
            <w:tcW w:type="pct" w:w="4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OrgPath attribute changes MUST follow the change-control process. No ad-hoc modifications.</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Audit log monitoring for extension attribute write operations; unauthorized changes trigger security alert.</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Critical</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ORG-004</w:t>
            </w:r>
          </w:p>
        </w:tc>
        <w:tc>
          <w:tcPr>
            <w:tcW w:type="pct" w:w="4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OrgPath attribute values for Arc-enrolled servers (Azure tags) MUST be reconciled with Entra extension attribute values for dual-identity devices quarterly.</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Reconciliation script comparing Azure tag values against Entra extension attribute values; discrepancies reported.</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Medium</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ORG-005</w:t>
            </w:r>
          </w:p>
        </w:tc>
        <w:tc>
          <w:tcPr>
            <w:tcW w:type="pct" w:w="4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The OrgPath Attribute Registry MUST be reviewed and revalidated semi-annually by the governance board.</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Calendar-driven review with documented sign-off.</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Medium</w:t>
            </w:r>
          </w:p>
        </w:tc>
      </w:tr>
    </w:tbl>
    <w:p>
      <w:pPr>
        <w:spacing w:after="200" w:before="0"/>
      </w:pPr>
    </w:p>
    <w:p>
      <w:pPr>
        <w:pStyle w:val="Heading1"/>
        <w:spacing w:after="120" w:before="480" w:line="312" w:lineRule="auto"/>
      </w:pPr>
      <w:r>
        <w:rPr>
          <w:rFonts w:ascii="Calibri" w:cs="Calibri" w:eastAsia="Calibri" w:hAnsi="Calibri"/>
          <w:color w:val="1A1A1A"/>
          <w:sz w:val="48"/>
          <w:szCs w:val="48"/>
        </w:rPr>
        <w:t xml:space="preserve">3. Dynamic Group Rules — Attribute-Based Policy Targeting</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Dynamic security groups in Entra ID replace OU-linked GPO targeting as the primary mechanism for policy assignment. Instead of linking a GPO to </w:t>
      </w:r>
      <w:r>
        <w:rPr>
          <w:rFonts w:ascii="Courier New" w:cs="Courier New" w:eastAsia="Courier New" w:hAnsi="Courier New"/>
          <w:b w:val="false"/>
          <w:bCs w:val="false"/>
          <w:i w:val="false"/>
          <w:iCs w:val="false"/>
          <w:color w:val="000000"/>
          <w:sz w:val="20"/>
          <w:szCs w:val="20"/>
          <w:shd w:fill="F3F4F6" w:color="auto" w:val="clear"/>
        </w:rPr>
        <w:t xml:space="preserve">OU=Workstations,OU=NewYork,DC=contoso,DC=com</w:t>
      </w:r>
      <w:r>
        <w:rPr>
          <w:rFonts w:ascii="Calibri" w:cs="Calibri" w:eastAsia="Calibri" w:hAnsi="Calibri"/>
          <w:b w:val="false"/>
          <w:bCs w:val="false"/>
          <w:i w:val="false"/>
          <w:iCs w:val="false"/>
          <w:strike w:val="false"/>
          <w:color w:val="000000"/>
          <w:sz w:val="22"/>
          <w:szCs w:val="22"/>
        </w:rPr>
        <w:t xml:space="preserve">, the modern equivalent is a dynamic security group whose membership rule evaluates OrgPath extension attributes on device objects. Devices matching the rule are automatically added to the group; devices that no longer match are automatically removed. Policy assignments (Intune configuration profiles, compliance policies, security baselines) target these dynamic groups.</w:t>
      </w:r>
    </w:p>
    <w:p>
      <w:pPr>
        <w:pStyle w:val="Heading2"/>
        <w:spacing w:after="120" w:before="360" w:line="312" w:lineRule="auto"/>
      </w:pPr>
      <w:r>
        <w:rPr>
          <w:rFonts w:ascii="Calibri" w:cs="Calibri" w:eastAsia="Calibri" w:hAnsi="Calibri"/>
          <w:color w:val="1A1A1A"/>
          <w:sz w:val="36"/>
          <w:szCs w:val="36"/>
        </w:rPr>
        <w:t xml:space="preserve">3.1 Dynamic Group Rule Syntax Reference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Entra ID dynamic membership rules for device groups use the following syntax structure:</w:t>
      </w:r>
    </w:p>
    <w:p>
      <w:pPr>
        <w:spacing w:after="120" w:before="60" w:line="360" w:lineRule="auto"/>
      </w:pPr>
      <w:r>
        <w:rPr>
          <w:rFonts w:ascii="Courier New" w:cs="Courier New" w:eastAsia="Courier New" w:hAnsi="Courier New"/>
          <w:b w:val="false"/>
          <w:bCs w:val="false"/>
          <w:i w:val="false"/>
          <w:iCs w:val="false"/>
          <w:color w:val="000000"/>
          <w:sz w:val="20"/>
          <w:szCs w:val="20"/>
          <w:shd w:fill="F3F4F6" w:color="auto" w:val="clear"/>
        </w:rPr>
        <w:t xml:space="preserve">(device.&lt;property&gt; &lt;operator&gt; &lt;value&gt;)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Compound rules are constructed with logical operators:</w:t>
      </w:r>
    </w:p>
    <w:p>
      <w:pPr>
        <w:spacing w:after="120" w:before="60" w:line="360" w:lineRule="auto"/>
      </w:pPr>
      <w:r>
        <w:rPr>
          <w:rFonts w:ascii="Courier New" w:cs="Courier New" w:eastAsia="Courier New" w:hAnsi="Courier New"/>
          <w:b w:val="false"/>
          <w:bCs w:val="false"/>
          <w:i w:val="false"/>
          <w:iCs w:val="false"/>
          <w:color w:val="000000"/>
          <w:sz w:val="20"/>
          <w:szCs w:val="20"/>
          <w:shd w:fill="F3F4F6" w:color="auto" w:val="clear"/>
        </w:rPr>
        <w:t xml:space="preserve">(device.&lt;property&gt; &lt;operator&gt; &lt;value&gt;) -and (device.&lt;property&gt; &lt;operator&gt; &lt;value&gt;)</w:t>
      </w:r>
    </w:p>
    <w:p>
      <w:pPr>
        <w:pStyle w:val="Heading3"/>
        <w:spacing w:after="120" w:before="240" w:line="312" w:lineRule="auto"/>
      </w:pPr>
      <w:r>
        <w:rPr>
          <w:rFonts w:ascii="Calibri" w:cs="Calibri" w:eastAsia="Calibri" w:hAnsi="Calibri"/>
          <w:color w:val="1A1A1A"/>
          <w:sz w:val="28"/>
          <w:szCs w:val="28"/>
        </w:rPr>
        <w:t xml:space="preserve">Available Operators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7%"/>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Operator</w:t>
            </w:r>
          </w:p>
        </w:tc>
        <w:tc>
          <w:tcPr>
            <w:tcW w:type="pct" w:w="2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Description</w:t>
            </w:r>
          </w:p>
        </w:tc>
        <w:tc>
          <w:tcPr>
            <w:tcW w:type="pct" w:w="5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Example</w:t>
            </w:r>
          </w:p>
        </w:tc>
      </w:tr>
      <w:tr>
        <w:trPr>
          <w:tblHeader w:val="false"/>
        </w:trPr>
        <w:tc>
          <w:tcPr>
            <w:tcW w:type="pct" w:w="17%"/>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-eq</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Equals (case-insensitive)</w:t>
            </w:r>
          </w:p>
        </w:tc>
        <w:tc>
          <w:tcPr>
            <w:tcW w:type="pct" w:w="55%"/>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(device.extensionAttribute1 -eq "US-East")</w:t>
            </w:r>
          </w:p>
        </w:tc>
      </w:tr>
      <w:tr>
        <w:trPr>
          <w:tblHeader w:val="false"/>
        </w:trPr>
        <w:tc>
          <w:tcPr>
            <w:tcW w:type="pct" w:w="17%"/>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-ne</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Not equals</w:t>
            </w:r>
          </w:p>
        </w:tc>
        <w:tc>
          <w:tcPr>
            <w:tcW w:type="pct" w:w="55%"/>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(device.isCompliant -ne true)</w:t>
            </w:r>
          </w:p>
        </w:tc>
      </w:tr>
      <w:tr>
        <w:trPr>
          <w:tblHeader w:val="false"/>
        </w:trPr>
        <w:tc>
          <w:tcPr>
            <w:tcW w:type="pct" w:w="17%"/>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-startsWith</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String starts with</w:t>
            </w:r>
          </w:p>
        </w:tc>
        <w:tc>
          <w:tcPr>
            <w:tcW w:type="pct" w:w="55%"/>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(device.displayName -startsWith "WKS-")</w:t>
            </w:r>
          </w:p>
        </w:tc>
      </w:tr>
      <w:tr>
        <w:trPr>
          <w:tblHeader w:val="false"/>
        </w:trPr>
        <w:tc>
          <w:tcPr>
            <w:tcW w:type="pct" w:w="17%"/>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-contains</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String contains</w:t>
            </w:r>
          </w:p>
        </w:tc>
        <w:tc>
          <w:tcPr>
            <w:tcW w:type="pct" w:w="55%"/>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(device.displayName -contains "NYC")</w:t>
            </w:r>
          </w:p>
        </w:tc>
      </w:tr>
      <w:tr>
        <w:trPr>
          <w:tblHeader w:val="false"/>
        </w:trPr>
        <w:tc>
          <w:tcPr>
            <w:tcW w:type="pct" w:w="17%"/>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-match</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Regex match</w:t>
            </w:r>
          </w:p>
        </w:tc>
        <w:tc>
          <w:tcPr>
            <w:tcW w:type="pct" w:w="55%"/>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(device.displayName -match "^SRV-[A-Z]{3}-[0-9]+")</w:t>
            </w:r>
          </w:p>
        </w:tc>
      </w:tr>
      <w:tr>
        <w:trPr>
          <w:tblHeader w:val="false"/>
        </w:trPr>
        <w:tc>
          <w:tcPr>
            <w:tcW w:type="pct" w:w="17%"/>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-notMatch</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Regex not match</w:t>
            </w:r>
          </w:p>
        </w:tc>
        <w:tc>
          <w:tcPr>
            <w:tcW w:type="pct" w:w="55%"/>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(device.displayName -notMatch "^TEST-")</w:t>
            </w:r>
          </w:p>
        </w:tc>
      </w:tr>
      <w:tr>
        <w:trPr>
          <w:tblHeader w:val="false"/>
        </w:trPr>
        <w:tc>
          <w:tcPr>
            <w:tcW w:type="pct" w:w="17%"/>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-in</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Value in list</w:t>
            </w:r>
          </w:p>
        </w:tc>
        <w:tc>
          <w:tcPr>
            <w:tcW w:type="pct" w:w="55%"/>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(device.extensionAttribute1 -in ["US-East","US-West"])</w:t>
            </w:r>
          </w:p>
        </w:tc>
      </w:tr>
      <w:tr>
        <w:trPr>
          <w:tblHeader w:val="false"/>
        </w:trPr>
        <w:tc>
          <w:tcPr>
            <w:tcW w:type="pct" w:w="17%"/>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-notIn</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Value not in list</w:t>
            </w:r>
          </w:p>
        </w:tc>
        <w:tc>
          <w:tcPr>
            <w:tcW w:type="pct" w:w="55%"/>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(device.extensionAttribute5 -notIn ["Test","Development"])</w:t>
            </w:r>
          </w:p>
        </w:tc>
      </w:tr>
    </w:tbl>
    <w:p>
      <w:pPr>
        <w:spacing w:after="200" w:before="0"/>
      </w:pPr>
    </w:p>
    <w:p>
      <w:pPr>
        <w:pStyle w:val="Heading3"/>
        <w:spacing w:after="120" w:before="240" w:line="312" w:lineRule="auto"/>
      </w:pPr>
      <w:r>
        <w:rPr>
          <w:rFonts w:ascii="Calibri" w:cs="Calibri" w:eastAsia="Calibri" w:hAnsi="Calibri"/>
          <w:color w:val="1A1A1A"/>
          <w:sz w:val="28"/>
          <w:szCs w:val="28"/>
        </w:rPr>
        <w:t xml:space="preserve">Logical Operators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Operator</w:t>
            </w:r>
          </w:p>
        </w:tc>
        <w:tc>
          <w:tcPr>
            <w:tcW w:type="pct" w:w="8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Description</w:t>
            </w:r>
          </w:p>
        </w:tc>
      </w:tr>
      <w:tr>
        <w:trPr>
          <w:tblHeader w:val="false"/>
        </w:trPr>
        <w:tc>
          <w:tcPr>
            <w:tcW w:type="pct" w:w="18%"/>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-and</w:t>
            </w:r>
          </w:p>
        </w:tc>
        <w:tc>
          <w:tcPr>
            <w:tcW w:type="pct" w:w="8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Both conditions must be true</w:t>
            </w:r>
          </w:p>
        </w:tc>
      </w:tr>
      <w:tr>
        <w:trPr>
          <w:tblHeader w:val="false"/>
        </w:trPr>
        <w:tc>
          <w:tcPr>
            <w:tcW w:type="pct" w:w="18%"/>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-or</w:t>
            </w:r>
          </w:p>
        </w:tc>
        <w:tc>
          <w:tcPr>
            <w:tcW w:type="pct" w:w="8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Either condition must be true</w:t>
            </w:r>
          </w:p>
        </w:tc>
      </w:tr>
      <w:tr>
        <w:trPr>
          <w:tblHeader w:val="false"/>
        </w:trPr>
        <w:tc>
          <w:tcPr>
            <w:tcW w:type="pct" w:w="18%"/>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-not</w:t>
            </w:r>
          </w:p>
        </w:tc>
        <w:tc>
          <w:tcPr>
            <w:tcW w:type="pct" w:w="8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Negates the following condition</w:t>
            </w:r>
          </w:p>
        </w:tc>
      </w:tr>
    </w:tbl>
    <w:p>
      <w:pPr>
        <w:spacing w:after="200" w:before="0"/>
      </w:pPr>
    </w:p>
    <w:p>
      <w:pPr>
        <w:pStyle w:val="Heading3"/>
        <w:spacing w:after="120" w:before="240" w:line="312" w:lineRule="auto"/>
      </w:pPr>
      <w:r>
        <w:rPr>
          <w:rFonts w:ascii="Calibri" w:cs="Calibri" w:eastAsia="Calibri" w:hAnsi="Calibri"/>
          <w:color w:val="1A1A1A"/>
          <w:sz w:val="28"/>
          <w:szCs w:val="28"/>
        </w:rPr>
        <w:t xml:space="preserve">Key Device Properties Available for Rules</w:t>
      </w:r>
    </w:p>
    <w:p>
      <w:pPr>
        <w:spacing w:after="120" w:before="60" w:line="360" w:lineRule="auto"/>
      </w:pPr>
      <w:r>
        <w:rPr>
          <w:rFonts w:ascii="Courier New" w:cs="Courier New" w:eastAsia="Courier New" w:hAnsi="Courier New"/>
          <w:b w:val="false"/>
          <w:bCs w:val="false"/>
          <w:i w:val="false"/>
          <w:iCs w:val="false"/>
          <w:color w:val="000000"/>
          <w:sz w:val="20"/>
          <w:szCs w:val="20"/>
          <w:shd w:fill="F3F4F6" w:color="auto" w:val="clear"/>
        </w:rPr>
        <w:t xml:space="preserve">device.displayName</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device.operatingSystem</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device.operatingSystemVersion</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device.isManaged</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device.isCompliant</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device.deviceTrustType</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device.extensionAttribute1</w:t>
      </w:r>
      <w:r>
        <w:rPr>
          <w:rFonts w:ascii="Calibri" w:cs="Calibri" w:eastAsia="Calibri" w:hAnsi="Calibri"/>
          <w:b w:val="false"/>
          <w:bCs w:val="false"/>
          <w:i w:val="false"/>
          <w:iCs w:val="false"/>
          <w:strike w:val="false"/>
          <w:color w:val="000000"/>
          <w:sz w:val="22"/>
          <w:szCs w:val="22"/>
        </w:rPr>
        <w:t xml:space="preserve"> through </w:t>
      </w:r>
      <w:r>
        <w:rPr>
          <w:rFonts w:ascii="Courier New" w:cs="Courier New" w:eastAsia="Courier New" w:hAnsi="Courier New"/>
          <w:b w:val="false"/>
          <w:bCs w:val="false"/>
          <w:i w:val="false"/>
          <w:iCs w:val="false"/>
          <w:color w:val="000000"/>
          <w:sz w:val="20"/>
          <w:szCs w:val="20"/>
          <w:shd w:fill="F3F4F6" w:color="auto" w:val="clear"/>
        </w:rPr>
        <w:t xml:space="preserve">device.extensionAttribute15</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device.deviceCategory</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device.accountEnabled</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device.profileType</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device.systemLabels</w:t>
      </w:r>
      <w:r>
        <w:rPr>
          <w:rFonts w:ascii="Calibri" w:cs="Calibri" w:eastAsia="Calibri" w:hAnsi="Calibri"/>
          <w:b w:val="false"/>
          <w:bCs w:val="false"/>
          <w:i w:val="false"/>
          <w:iCs w:val="false"/>
          <w:strike w:val="false"/>
          <w:color w:val="000000"/>
          <w:sz w:val="22"/>
          <w:szCs w:val="22"/>
        </w:rPr>
        <w:t xml:space="preserve">.</w:t>
      </w:r>
    </w:p>
    <w:p>
      <w:pPr>
        <w:pStyle w:val="Heading2"/>
        <w:spacing w:after="120" w:before="360" w:line="312" w:lineRule="auto"/>
      </w:pPr>
      <w:r>
        <w:rPr>
          <w:rFonts w:ascii="Calibri" w:cs="Calibri" w:eastAsia="Calibri" w:hAnsi="Calibri"/>
          <w:color w:val="1A1A1A"/>
          <w:sz w:val="36"/>
          <w:szCs w:val="36"/>
        </w:rPr>
        <w:t xml:space="preserve">3.2 OrgPath-Based Dynamic Group Patterns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table provides canonical dynamic group rules that replicate common AD OU-based targeting scenarios using the OrgPath attribute schema defined in Section 2.</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Governance Intent</w:t>
            </w:r>
          </w:p>
        </w:tc>
        <w:tc>
          <w:tcPr>
            <w:tcW w:type="pct" w:w="1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AD Equivalent</w:t>
            </w:r>
          </w:p>
        </w:tc>
        <w:tc>
          <w:tcPr>
            <w:tcW w:type="pct" w:w="6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Dynamic Group Rule</w:t>
            </w:r>
          </w:p>
        </w:tc>
      </w:tr>
      <w:tr>
        <w:trPr>
          <w:tblHeader w:val="false"/>
        </w:trPr>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All workstations in New York</w:t>
            </w:r>
          </w:p>
        </w:tc>
        <w:tc>
          <w:tcPr>
            <w:tcW w:type="pct" w:w="19%"/>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OU=Workstations,OU=NY,DC=contoso,DC=com</w:t>
            </w:r>
          </w:p>
        </w:tc>
        <w:tc>
          <w:tcPr>
            <w:tcW w:type="pct" w:w="61%"/>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(device.extensionAttribute1 -eq "US-East") -and (device.extensionAttribute2 -eq "NYC-HQ") -and (device.extensionAttribute6 -eq "Workstation")</w:t>
            </w:r>
          </w:p>
        </w:tc>
      </w:tr>
      <w:tr>
        <w:trPr>
          <w:tblHeader w:val="false"/>
        </w:trPr>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All Tier 0 servers (identity infrastructure)</w:t>
            </w:r>
          </w:p>
        </w:tc>
        <w:tc>
          <w:tcPr>
            <w:tcW w:type="pct" w:w="19%"/>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OU=Tier0,OU=Servers,DC=contoso,DC=com</w:t>
            </w:r>
          </w:p>
        </w:tc>
        <w:tc>
          <w:tcPr>
            <w:tcW w:type="pct" w:w="61%"/>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(device.extensionAttribute4 -eq "Tier0") -and (device.extensionAttribute6 -eq "Server")</w:t>
            </w:r>
          </w:p>
        </w:tc>
      </w:tr>
      <w:tr>
        <w:trPr>
          <w:tblHeader w:val="false"/>
        </w:trPr>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All production kiosks</w:t>
            </w:r>
          </w:p>
        </w:tc>
        <w:tc>
          <w:tcPr>
            <w:tcW w:type="pct" w:w="19%"/>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OU=Kiosks,OU=Production,DC=contoso,DC=com</w:t>
            </w:r>
          </w:p>
        </w:tc>
        <w:tc>
          <w:tcPr>
            <w:tcW w:type="pct" w:w="61%"/>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(device.extensionAttribute5 -eq "Production") -and (device.extensionAttribute6 -eq "Kiosk")</w:t>
            </w:r>
          </w:p>
        </w:tc>
      </w:tr>
      <w:tr>
        <w:trPr>
          <w:tblHeader w:val="false"/>
        </w:trPr>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All Windows 11 devices in Finance</w:t>
            </w:r>
          </w:p>
        </w:tc>
        <w:tc>
          <w:tcPr>
            <w:tcW w:type="pct" w:w="19%"/>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OU=Finance</w:t>
            </w:r>
            <w:r>
              <w:rPr>
                <w:rFonts w:ascii="Calibri" w:cs="Calibri" w:eastAsia="Calibri" w:hAnsi="Calibri"/>
                <w:b w:val="false"/>
                <w:bCs w:val="false"/>
                <w:i w:val="false"/>
                <w:iCs w:val="false"/>
                <w:strike w:val="false"/>
                <w:color w:val="000000"/>
                <w:sz w:val="20"/>
                <w:szCs w:val="20"/>
              </w:rPr>
              <w:t xml:space="preserve"> + OS WMI filter</w:t>
            </w:r>
          </w:p>
        </w:tc>
        <w:tc>
          <w:tcPr>
            <w:tcW w:type="pct" w:w="61%"/>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(device.extensionAttribute3 -eq "Finance") -and (device.operatingSystem -eq "Windows") -and (device.operatingSystemVersion -startsWith "10.0.22")</w:t>
            </w:r>
          </w:p>
        </w:tc>
      </w:tr>
      <w:tr>
        <w:trPr>
          <w:tblHeader w:val="false"/>
        </w:trPr>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All non-compliant devices</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No direct AD equivalent</w:t>
            </w:r>
          </w:p>
        </w:tc>
        <w:tc>
          <w:tcPr>
            <w:tcW w:type="pct" w:w="61%"/>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(device.isCompliant -ne true)</w:t>
            </w:r>
          </w:p>
        </w:tc>
      </w:tr>
      <w:tr>
        <w:trPr>
          <w:tblHeader w:val="false"/>
        </w:trPr>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All managed workstations in EU regions</w:t>
            </w:r>
          </w:p>
        </w:tc>
        <w:tc>
          <w:tcPr>
            <w:tcW w:type="pct" w:w="19%"/>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OU=Workstations</w:t>
            </w:r>
            <w:r>
              <w:rPr>
                <w:rFonts w:ascii="Calibri" w:cs="Calibri" w:eastAsia="Calibri" w:hAnsi="Calibri"/>
                <w:b w:val="false"/>
                <w:bCs w:val="false"/>
                <w:i w:val="false"/>
                <w:iCs w:val="false"/>
                <w:strike w:val="false"/>
                <w:color w:val="000000"/>
                <w:sz w:val="20"/>
                <w:szCs w:val="20"/>
              </w:rPr>
              <w:t xml:space="preserve"> across EU sites</w:t>
            </w:r>
          </w:p>
        </w:tc>
        <w:tc>
          <w:tcPr>
            <w:tcW w:type="pct" w:w="61%"/>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(device.extensionAttribute1 -in ["EU-West","EU-North"]) -and (device.extensionAttribute6 -eq "Workstation") -and (device.isManaged -eq true)</w:t>
            </w:r>
          </w:p>
        </w:tc>
      </w:tr>
      <w:tr>
        <w:trPr>
          <w:tblHeader w:val="false"/>
        </w:trPr>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All development environment servers</w:t>
            </w:r>
          </w:p>
        </w:tc>
        <w:tc>
          <w:tcPr>
            <w:tcW w:type="pct" w:w="19%"/>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OU=Servers,OU=Dev,DC=contoso,DC=com</w:t>
            </w:r>
          </w:p>
        </w:tc>
        <w:tc>
          <w:tcPr>
            <w:tcW w:type="pct" w:w="61%"/>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(device.extensionAttribute5 -eq "Development") -and (device.extensionAttribute6 -eq "Server")</w:t>
            </w:r>
          </w:p>
        </w:tc>
      </w:tr>
      <w:tr>
        <w:trPr>
          <w:tblHeader w:val="false"/>
        </w:trPr>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All Engineering department devices (any role)</w:t>
            </w:r>
          </w:p>
        </w:tc>
        <w:tc>
          <w:tcPr>
            <w:tcW w:type="pct" w:w="19%"/>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OU=Engineering</w:t>
            </w:r>
            <w:r>
              <w:rPr>
                <w:rFonts w:ascii="Calibri" w:cs="Calibri" w:eastAsia="Calibri" w:hAnsi="Calibri"/>
                <w:b w:val="false"/>
                <w:bCs w:val="false"/>
                <w:i w:val="false"/>
                <w:iCs w:val="false"/>
                <w:strike w:val="false"/>
                <w:color w:val="000000"/>
                <w:sz w:val="20"/>
                <w:szCs w:val="20"/>
              </w:rPr>
              <w:t xml:space="preserve"> (all child OUs)</w:t>
            </w:r>
          </w:p>
        </w:tc>
        <w:tc>
          <w:tcPr>
            <w:tcW w:type="pct" w:w="61%"/>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(device.extensionAttribute3 -eq "Engineering")</w:t>
            </w:r>
          </w:p>
        </w:tc>
      </w:tr>
      <w:tr>
        <w:trPr>
          <w:tblHeader w:val="false"/>
        </w:trPr>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All conference room devices in APAC</w:t>
            </w:r>
          </w:p>
        </w:tc>
        <w:tc>
          <w:tcPr>
            <w:tcW w:type="pct" w:w="19%"/>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OU=ConferenceRooms,OU=APAC,DC=contoso,DC=com</w:t>
            </w:r>
          </w:p>
        </w:tc>
        <w:tc>
          <w:tcPr>
            <w:tcW w:type="pct" w:w="61%"/>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(device.extensionAttribute1 -startsWith "APAC") -and (device.extensionAttribute6 -eq "ConferenceRoom")</w:t>
            </w:r>
          </w:p>
        </w:tc>
      </w:tr>
      <w:tr>
        <w:trPr>
          <w:tblHeader w:val="false"/>
        </w:trPr>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All Tier 2 production workstations not in US</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Complex OU + group intersection</w:t>
            </w:r>
          </w:p>
        </w:tc>
        <w:tc>
          <w:tcPr>
            <w:tcW w:type="pct" w:w="61%"/>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(device.extensionAttribute4 -eq "Tier2") -and (device.extensionAttribute5 -eq "Production") -and (device.extensionAttribute6 -eq "Workstation") -and (device.extensionAttribute1 -notIn ["US-East","US-West"])</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3.3 Dynamic Group Governance Rules</w:t>
      </w:r>
    </w:p>
    <w:p>
      <w:pPr>
        <w:pStyle w:val="Heading3"/>
        <w:spacing w:after="120" w:before="240" w:line="312" w:lineRule="auto"/>
      </w:pPr>
      <w:r>
        <w:rPr>
          <w:rFonts w:ascii="Calibri" w:cs="Calibri" w:eastAsia="Calibri" w:hAnsi="Calibri"/>
          <w:color w:val="1A1A1A"/>
          <w:sz w:val="28"/>
          <w:szCs w:val="28"/>
        </w:rPr>
        <w:t xml:space="preserve">3.3.1 Naming Convention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All dynamic groups that serve as policy-targeting containers must follow the canonical naming pattern:</w:t>
      </w:r>
    </w:p>
    <w:p>
      <w:pPr>
        <w:spacing w:after="120" w:before="60" w:line="360" w:lineRule="auto"/>
      </w:pPr>
      <w:r>
        <w:rPr>
          <w:rFonts w:ascii="Courier New" w:cs="Courier New" w:eastAsia="Courier New" w:hAnsi="Courier New"/>
          <w:b w:val="false"/>
          <w:bCs w:val="false"/>
          <w:i w:val="false"/>
          <w:iCs w:val="false"/>
          <w:color w:val="000000"/>
          <w:sz w:val="20"/>
          <w:szCs w:val="20"/>
          <w:shd w:fill="F3F4F6" w:color="auto" w:val="clear"/>
        </w:rPr>
        <w:t xml:space="preserve">DG-{Dimension1Value}-{Dimension2Value}-{DeviceRole}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Examples:</w:t>
      </w:r>
    </w:p>
    <w:p>
      <w:pPr>
        <w:pStyle w:val="ListParagraph"/>
        <w:numPr>
          <w:ilvl w:val="0"/>
          <w:numId w:val="1"/>
        </w:numPr>
        <w:spacing w:after="60" w:line="408" w:lineRule="auto"/>
        <w:ind w:left="720" w:hanging="360"/>
      </w:pPr>
      <w:r>
        <w:rPr>
          <w:rFonts w:ascii="Courier New" w:cs="Courier New" w:eastAsia="Courier New" w:hAnsi="Courier New"/>
          <w:b w:val="false"/>
          <w:bCs w:val="false"/>
          <w:i w:val="false"/>
          <w:iCs w:val="false"/>
          <w:color w:val="000000"/>
          <w:sz w:val="20"/>
          <w:szCs w:val="20"/>
          <w:shd w:fill="F3F4F6" w:color="auto" w:val="clear"/>
        </w:rPr>
        <w:t xml:space="preserve">DG-USEast-NYCHQ-Workstation</w:t>
      </w:r>
      <w:r>
        <w:rPr>
          <w:rFonts w:ascii="Calibri" w:cs="Calibri" w:eastAsia="Calibri" w:hAnsi="Calibri"/>
          <w:b w:val="false"/>
          <w:bCs w:val="false"/>
          <w:i w:val="false"/>
          <w:iCs w:val="false"/>
          <w:strike w:val="false"/>
          <w:color w:val="000000"/>
          <w:sz w:val="22"/>
          <w:szCs w:val="22"/>
        </w:rPr>
        <w:t xml:space="preserve"> — All workstations in New York HQ, US-East region</w:t>
      </w:r>
    </w:p>
    <w:p>
      <w:pPr>
        <w:pStyle w:val="ListParagraph"/>
        <w:numPr>
          <w:ilvl w:val="0"/>
          <w:numId w:val="1"/>
        </w:numPr>
        <w:spacing w:after="60" w:line="408" w:lineRule="auto"/>
        <w:ind w:left="720" w:hanging="360"/>
      </w:pPr>
      <w:r>
        <w:rPr>
          <w:rFonts w:ascii="Courier New" w:cs="Courier New" w:eastAsia="Courier New" w:hAnsi="Courier New"/>
          <w:b w:val="false"/>
          <w:bCs w:val="false"/>
          <w:i w:val="false"/>
          <w:iCs w:val="false"/>
          <w:color w:val="000000"/>
          <w:sz w:val="20"/>
          <w:szCs w:val="20"/>
          <w:shd w:fill="F3F4F6" w:color="auto" w:val="clear"/>
        </w:rPr>
        <w:t xml:space="preserve">DG-Tier0-Server</w:t>
      </w:r>
      <w:r>
        <w:rPr>
          <w:rFonts w:ascii="Calibri" w:cs="Calibri" w:eastAsia="Calibri" w:hAnsi="Calibri"/>
          <w:b w:val="false"/>
          <w:bCs w:val="false"/>
          <w:i w:val="false"/>
          <w:iCs w:val="false"/>
          <w:strike w:val="false"/>
          <w:color w:val="000000"/>
          <w:sz w:val="22"/>
          <w:szCs w:val="22"/>
        </w:rPr>
        <w:t xml:space="preserve"> — All Tier 0 servers (region-agnostic)</w:t>
      </w:r>
    </w:p>
    <w:p>
      <w:pPr>
        <w:pStyle w:val="ListParagraph"/>
        <w:numPr>
          <w:ilvl w:val="0"/>
          <w:numId w:val="1"/>
        </w:numPr>
        <w:spacing w:after="60" w:line="408" w:lineRule="auto"/>
        <w:ind w:left="720" w:hanging="360"/>
      </w:pPr>
      <w:r>
        <w:rPr>
          <w:rFonts w:ascii="Courier New" w:cs="Courier New" w:eastAsia="Courier New" w:hAnsi="Courier New"/>
          <w:b w:val="false"/>
          <w:bCs w:val="false"/>
          <w:i w:val="false"/>
          <w:iCs w:val="false"/>
          <w:color w:val="000000"/>
          <w:sz w:val="20"/>
          <w:szCs w:val="20"/>
          <w:shd w:fill="F3F4F6" w:color="auto" w:val="clear"/>
        </w:rPr>
        <w:t xml:space="preserve">DG-Production-Kiosk</w:t>
      </w:r>
      <w:r>
        <w:rPr>
          <w:rFonts w:ascii="Calibri" w:cs="Calibri" w:eastAsia="Calibri" w:hAnsi="Calibri"/>
          <w:b w:val="false"/>
          <w:bCs w:val="false"/>
          <w:i w:val="false"/>
          <w:iCs w:val="false"/>
          <w:strike w:val="false"/>
          <w:color w:val="000000"/>
          <w:sz w:val="22"/>
          <w:szCs w:val="22"/>
        </w:rPr>
        <w:t xml:space="preserve"> — All production kiosks</w:t>
      </w:r>
    </w:p>
    <w:p>
      <w:pPr>
        <w:pStyle w:val="ListParagraph"/>
        <w:numPr>
          <w:ilvl w:val="0"/>
          <w:numId w:val="1"/>
        </w:numPr>
        <w:spacing w:after="60" w:line="408" w:lineRule="auto"/>
        <w:ind w:left="720" w:hanging="360"/>
      </w:pPr>
      <w:r>
        <w:rPr>
          <w:rFonts w:ascii="Courier New" w:cs="Courier New" w:eastAsia="Courier New" w:hAnsi="Courier New"/>
          <w:b w:val="false"/>
          <w:bCs w:val="false"/>
          <w:i w:val="false"/>
          <w:iCs w:val="false"/>
          <w:color w:val="000000"/>
          <w:sz w:val="20"/>
          <w:szCs w:val="20"/>
          <w:shd w:fill="F3F4F6" w:color="auto" w:val="clear"/>
        </w:rPr>
        <w:t xml:space="preserve">DG-Finance-Workstation</w:t>
      </w:r>
      <w:r>
        <w:rPr>
          <w:rFonts w:ascii="Calibri" w:cs="Calibri" w:eastAsia="Calibri" w:hAnsi="Calibri"/>
          <w:b w:val="false"/>
          <w:bCs w:val="false"/>
          <w:i w:val="false"/>
          <w:iCs w:val="false"/>
          <w:strike w:val="false"/>
          <w:color w:val="000000"/>
          <w:sz w:val="22"/>
          <w:szCs w:val="22"/>
        </w:rPr>
        <w:t xml:space="preserve"> — All Finance department workstations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See Appendix B for the complete naming convention specification.</w:t>
      </w:r>
    </w:p>
    <w:p>
      <w:pPr>
        <w:pStyle w:val="Heading3"/>
        <w:spacing w:after="120" w:before="240" w:line="312" w:lineRule="auto"/>
      </w:pPr>
      <w:r>
        <w:rPr>
          <w:rFonts w:ascii="Calibri" w:cs="Calibri" w:eastAsia="Calibri" w:hAnsi="Calibri"/>
          <w:color w:val="1A1A1A"/>
          <w:sz w:val="28"/>
          <w:szCs w:val="28"/>
        </w:rPr>
        <w:t xml:space="preserve">3.3.2 Rule Review Cadence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Dynamic group membership rules must be reviewed quarterly by the governance team to verify accuracy, relevance, and alignment with current OrgPath attribute registry values. Rule reviews must confirm that: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All referenced attribute values exist in the current controlled vocabulary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rule correctly expresses the stated governance intent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Membership count is within expected bounds (significant deviations signal rule or attribute errors)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No deprecated or retired OrgPath values are referenced</w:t>
      </w:r>
    </w:p>
    <w:p>
      <w:pPr>
        <w:pStyle w:val="Heading3"/>
        <w:spacing w:after="120" w:before="240" w:line="312" w:lineRule="auto"/>
      </w:pPr>
      <w:r>
        <w:rPr>
          <w:rFonts w:ascii="Calibri" w:cs="Calibri" w:eastAsia="Calibri" w:hAnsi="Calibri"/>
          <w:color w:val="1A1A1A"/>
          <w:sz w:val="28"/>
          <w:szCs w:val="28"/>
        </w:rPr>
        <w:t xml:space="preserve">3.3.3 Rule Complexity Limits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Avoid deeply nested compound rules. The maximum recommended rule complexity is five conditions joined by </w:t>
      </w:r>
      <w:r>
        <w:rPr>
          <w:rFonts w:ascii="Courier New" w:cs="Courier New" w:eastAsia="Courier New" w:hAnsi="Courier New"/>
          <w:b w:val="false"/>
          <w:bCs w:val="false"/>
          <w:i w:val="false"/>
          <w:iCs w:val="false"/>
          <w:color w:val="000000"/>
          <w:sz w:val="20"/>
          <w:szCs w:val="20"/>
          <w:shd w:fill="F3F4F6" w:color="auto" w:val="clear"/>
        </w:rPr>
        <w:t xml:space="preserve">-and</w:t>
      </w:r>
      <w:r>
        <w:rPr>
          <w:rFonts w:ascii="Calibri" w:cs="Calibri" w:eastAsia="Calibri" w:hAnsi="Calibri"/>
          <w:b w:val="false"/>
          <w:bCs w:val="false"/>
          <w:i w:val="false"/>
          <w:iCs w:val="false"/>
          <w:strike w:val="false"/>
          <w:color w:val="000000"/>
          <w:sz w:val="22"/>
          <w:szCs w:val="22"/>
        </w:rPr>
        <w:t xml:space="preserve"> / </w:t>
      </w:r>
      <w:r>
        <w:rPr>
          <w:rFonts w:ascii="Courier New" w:cs="Courier New" w:eastAsia="Courier New" w:hAnsi="Courier New"/>
          <w:b w:val="false"/>
          <w:bCs w:val="false"/>
          <w:i w:val="false"/>
          <w:iCs w:val="false"/>
          <w:color w:val="000000"/>
          <w:sz w:val="20"/>
          <w:szCs w:val="20"/>
          <w:shd w:fill="F3F4F6" w:color="auto" w:val="clear"/>
        </w:rPr>
        <w:t xml:space="preserve">-or</w:t>
      </w:r>
      <w:r>
        <w:rPr>
          <w:rFonts w:ascii="Calibri" w:cs="Calibri" w:eastAsia="Calibri" w:hAnsi="Calibri"/>
          <w:b w:val="false"/>
          <w:bCs w:val="false"/>
          <w:i w:val="false"/>
          <w:iCs w:val="false"/>
          <w:strike w:val="false"/>
          <w:color w:val="000000"/>
          <w:sz w:val="22"/>
          <w:szCs w:val="22"/>
        </w:rPr>
        <w:t xml:space="preserve"> operators. Rules exceeding this threshold should be decomposed into composable groups — multiple simpler dynamic groups combined via assigned group nesting or Intune filter layering.</w:t>
      </w:r>
    </w:p>
    <w:p>
      <w:pPr>
        <w:pStyle w:val="Heading3"/>
        <w:spacing w:after="120" w:before="240" w:line="312" w:lineRule="auto"/>
      </w:pPr>
      <w:r>
        <w:rPr>
          <w:rFonts w:ascii="Calibri" w:cs="Calibri" w:eastAsia="Calibri" w:hAnsi="Calibri"/>
          <w:color w:val="1A1A1A"/>
          <w:sz w:val="28"/>
          <w:szCs w:val="28"/>
        </w:rPr>
        <w:t xml:space="preserve">3.3.4 Security Consideration — Attribute Write Permissions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CE8E8"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Warning — Extension Attribute Write Access</w:t>
            </w:r>
          </w:p>
          <w:p>
            <w:pPr>
              <w:spacing w:after="120" w:line="360" w:lineRule="auto"/>
            </w:pPr>
            <w:r>
              <w:rPr>
                <w:rFonts w:ascii="Calibri" w:cs="Calibri" w:eastAsia="Calibri" w:hAnsi="Calibri"/>
                <w:b w:val="false"/>
                <w:bCs w:val="false"/>
                <w:i w:val="false"/>
                <w:iCs w:val="false"/>
                <w:strike w:val="false"/>
                <w:color w:val="000000"/>
                <w:sz w:val="22"/>
                <w:szCs w:val="22"/>
              </w:rPr>
              <w:t xml:space="preserve">If users, sync service accounts, or automation principals can modify device extension attributes, they can manipulate dynamic group membership — and therefore policy assignment scope. This constitutes a privilege escalation vector. Write access to extension attributes used in security-sensitive dynamic groups must be restricted to authorized governance service accounts. Monitor the Entra ID audit log for extension attribute modification events on device objects and alert on unauthorized write operations.</w:t>
            </w:r>
          </w:p>
        </w:tc>
      </w:tr>
    </w:tbl>
    <w:p>
      <w:pPr>
        <w:spacing w:after="240" w:before="0"/>
      </w:pPr>
    </w:p>
    <w:p>
      <w:pPr>
        <w:pStyle w:val="Heading3"/>
        <w:spacing w:after="120" w:before="240" w:line="312" w:lineRule="auto"/>
      </w:pPr>
      <w:r>
        <w:rPr>
          <w:rFonts w:ascii="Calibri" w:cs="Calibri" w:eastAsia="Calibri" w:hAnsi="Calibri"/>
          <w:color w:val="1A1A1A"/>
          <w:sz w:val="28"/>
          <w:szCs w:val="28"/>
        </w:rPr>
        <w:t xml:space="preserve">3.3.5 Processing Latency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Dynamic group membership changes are not instantaneous. After an extension attribute value is modified, the dynamic group membership engine re-evaluates affected rules asynchronously. Processing time varies by tenant size and rule complexity: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7%"/>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Tenant Size</w:t>
            </w:r>
          </w:p>
        </w:tc>
        <w:tc>
          <w:tcPr>
            <w:tcW w:type="pct" w:w="27%"/>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Typical Processing Time</w:t>
            </w:r>
          </w:p>
        </w:tc>
        <w:tc>
          <w:tcPr>
            <w:tcW w:type="pct" w:w="36%"/>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Maximum Observed Latency</w:t>
            </w:r>
          </w:p>
        </w:tc>
      </w:tr>
      <w:tr>
        <w:trPr>
          <w:tblHeader w:val="false"/>
        </w:trPr>
        <w:tc>
          <w:tcPr>
            <w:tcW w:type="pct" w:w="3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Small (&lt; 1,000 devices)</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Minutes</w:t>
            </w:r>
          </w:p>
        </w:tc>
        <w:tc>
          <w:tcPr>
            <w:tcW w:type="pct" w:w="3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30 minutes</w:t>
            </w:r>
          </w:p>
        </w:tc>
      </w:tr>
      <w:tr>
        <w:trPr>
          <w:tblHeader w:val="false"/>
        </w:trPr>
        <w:tc>
          <w:tcPr>
            <w:tcW w:type="pct" w:w="3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Medium (1,000 – 50,000 devices)</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15 – 30 minutes</w:t>
            </w:r>
          </w:p>
        </w:tc>
        <w:tc>
          <w:tcPr>
            <w:tcW w:type="pct" w:w="3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 hours</w:t>
            </w:r>
          </w:p>
        </w:tc>
      </w:tr>
      <w:tr>
        <w:trPr>
          <w:tblHeader w:val="false"/>
        </w:trPr>
        <w:tc>
          <w:tcPr>
            <w:tcW w:type="pct" w:w="3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Large (&gt; 50,000 devices)</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30 minutes – 2 hours</w:t>
            </w:r>
          </w:p>
        </w:tc>
        <w:tc>
          <w:tcPr>
            <w:tcW w:type="pct" w:w="3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24 hours (initial population)</w:t>
            </w:r>
          </w:p>
        </w:tc>
      </w:tr>
    </w:tbl>
    <w:p>
      <w:pPr>
        <w:spacing w:after="20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Policy-critical operations (e.g., moving a device to Tier 0 scope) must not depend on real-time dynamic group evaluation. For time-sensitive scenarios, use direct assigned group membership as an interim measure with subsequent reconciliation to dynamic group state.</w:t>
      </w:r>
    </w:p>
    <w:p>
      <w:pPr>
        <w:pStyle w:val="Heading1"/>
        <w:spacing w:after="120" w:before="480" w:line="312" w:lineRule="auto"/>
      </w:pPr>
      <w:r>
        <w:rPr>
          <w:rFonts w:ascii="Calibri" w:cs="Calibri" w:eastAsia="Calibri" w:hAnsi="Calibri"/>
          <w:color w:val="1A1A1A"/>
          <w:sz w:val="48"/>
          <w:szCs w:val="48"/>
        </w:rPr>
        <w:t xml:space="preserve">4. GPO-to-Intune Policy Mapping</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Group Policy Objects in Active Directory bundle multiple, often unrelated, configuration intents into a single policy container linked to an OU. Migration to Intune requires decomposing each GPO into discrete configuration intents, mapping each intent to the appropriate Intune policy type, and assigning each policy to the correct OrgPath-based dynamic group.</w:t>
      </w:r>
    </w:p>
    <w:p>
      <w:pPr>
        <w:pStyle w:val="Heading2"/>
        <w:spacing w:after="120" w:before="360" w:line="312" w:lineRule="auto"/>
      </w:pPr>
      <w:r>
        <w:rPr>
          <w:rFonts w:ascii="Calibri" w:cs="Calibri" w:eastAsia="Calibri" w:hAnsi="Calibri"/>
          <w:color w:val="1A1A1A"/>
          <w:sz w:val="36"/>
          <w:szCs w:val="36"/>
        </w:rPr>
        <w:t xml:space="preserve">4.1 GPO Decomposition Model</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table maps GPO configuration categories to their Intune equivalents, identifying the Intune policy type and the administrative surface used for management.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GPO Category</w:t>
            </w:r>
          </w:p>
        </w:tc>
        <w:tc>
          <w:tcPr>
            <w:tcW w:type="pct" w:w="3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Example Settings</w:t>
            </w:r>
          </w:p>
        </w:tc>
        <w:tc>
          <w:tcPr>
            <w:tcW w:type="pct" w:w="2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Intune Policy Type</w:t>
            </w:r>
          </w:p>
        </w:tc>
        <w:tc>
          <w:tcPr>
            <w:tcW w:type="pct" w:w="2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Intune Administrative Surface</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Security Baselines</w:t>
            </w:r>
          </w:p>
        </w:tc>
        <w:tc>
          <w:tcPr>
            <w:tcW w:type="pct" w:w="3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Password policy, audit policy, user rights assignment, account lockout</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Security Baselines</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Endpoint Security &gt; Security Baselines</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Endpoint Protection</w:t>
            </w:r>
          </w:p>
        </w:tc>
        <w:tc>
          <w:tcPr>
            <w:tcW w:type="pct" w:w="3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Windows Firewall rules, BitLocker encryption, exploit protection, attack surface reduction</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Endpoint Security Policies</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Endpoint Security &gt; Firewall, Disk Encryption, Attack Surface Reduction</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Windows Update</w:t>
            </w:r>
          </w:p>
        </w:tc>
        <w:tc>
          <w:tcPr>
            <w:tcW w:type="pct" w:w="3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WSUS server targeting, deferral periods, maintenance windows, restart behavior</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Update Rings / Feature Update Policies</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Devices &gt; Update Rings for Windows 10 and later</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Application Control</w:t>
            </w:r>
          </w:p>
        </w:tc>
        <w:tc>
          <w:tcPr>
            <w:tcW w:type="pct" w:w="3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AppLocker rules, Software Restriction Policies</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App Control for Business (WDAC)</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Endpoint Security &gt; Application Control</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Device Configuration</w:t>
            </w:r>
          </w:p>
        </w:tc>
        <w:tc>
          <w:tcPr>
            <w:tcW w:type="pct" w:w="3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Power settings, screen lock timeout, USB device restrictions, mapped drive letters</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Configuration Profiles (Settings Catalog)</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Devices &gt; Configuration Profiles &gt; Settings Catalog</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Administrative Templates</w:t>
            </w:r>
          </w:p>
        </w:tc>
        <w:tc>
          <w:tcPr>
            <w:tcW w:type="pct" w:w="3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Registry-based ADMX/ADML policy settings (Office, Edge, Windows components)</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Administrative Templates / Settings Catalog</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Devices &gt; Configuration Profiles &gt; Templates &gt; Administrative Templates</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Scripts and Automation</w:t>
            </w:r>
          </w:p>
        </w:tc>
        <w:tc>
          <w:tcPr>
            <w:tcW w:type="pct" w:w="3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Logon scripts, startup scripts, shutdown scripts</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Platform Scripts / Remediations</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Devices &gt; Scripts and remediations</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Certificate Deployment</w:t>
            </w:r>
          </w:p>
        </w:tc>
        <w:tc>
          <w:tcPr>
            <w:tcW w:type="pct" w:w="3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Auto-enrollment, certificate template assignment, CA trust</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Certificate Profiles (SCEP, PKCS, Imported PKCS)</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Devices &gt; Configuration Profiles &gt; Certificate profiles</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Network Configuration</w:t>
            </w:r>
          </w:p>
        </w:tc>
        <w:tc>
          <w:tcPr>
            <w:tcW w:type="pct" w:w="3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Wi-Fi profiles, VPN configuration, proxy settings</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Wi-Fi / VPN Profiles</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Devices &gt; Configuration Profiles &gt; Templates</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Compliance Requirements</w:t>
            </w:r>
          </w:p>
        </w:tc>
        <w:tc>
          <w:tcPr>
            <w:tcW w:type="pct" w:w="3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Required OS version, encryption status, antivirus state, TPM requirement</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Compliance Policies</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Devices &gt; Compliance Policies</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4.2 Migration Methodology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GPO-to-Intune migration follows a seven-step methodology designed to ensure complete coverage, prevent policy gaps, and validate configuration equivalence before decommissioning legacy GPOs.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Step</w:t>
            </w:r>
          </w:p>
        </w:tc>
        <w:tc>
          <w:tcPr>
            <w:tcW w:type="pct" w:w="1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Activity</w:t>
            </w:r>
          </w:p>
        </w:tc>
        <w:tc>
          <w:tcPr>
            <w:tcW w:type="pct" w:w="6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Description</w:t>
            </w:r>
          </w:p>
        </w:tc>
        <w:tc>
          <w:tcPr>
            <w:tcW w:type="pct" w:w="1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Output</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1</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GPO Inventory</w:t>
            </w:r>
          </w:p>
        </w:tc>
        <w:tc>
          <w:tcPr>
            <w:tcW w:type="pct" w:w="6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Export all GPOs as XML reports from Group Policy Management Console (GPMC). Capture GPO name, linked OUs, WMI filters, security filtering, and all configured settings.</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Complete GPO inventory spreadsheet (see Appendix C)</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2</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Group Policy Analytics</w:t>
            </w:r>
          </w:p>
        </w:tc>
        <w:tc>
          <w:tcPr>
            <w:tcW w:type="pct" w:w="6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Import GPO XML reports into Intune Group Policy Analytics. The tool classifies each setting as Supported, Not Supported, or Deprecated and recommends Intune equivalents.</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Support status report per GPO setting</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3</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Intent Decomposition</w:t>
            </w:r>
          </w:p>
        </w:tc>
        <w:tc>
          <w:tcPr>
            <w:tcW w:type="pct" w:w="6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Break each GPO into discrete configuration intents. A single GPO may contain settings spanning multiple Intune policy types. Each intent maps to exactly one Intune policy.</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Intent-to-policy mapping table</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4</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Policy Creation</w:t>
            </w:r>
          </w:p>
        </w:tc>
        <w:tc>
          <w:tcPr>
            <w:tcW w:type="pct" w:w="6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Create Intune policies using Settings Catalog (preferred for granularity), Templates (for common scenarios), or Custom OMA-URI (for settings not available in the catalog).</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Created Intune policies</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5</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Targeting Assignment</w:t>
            </w:r>
          </w:p>
        </w:tc>
        <w:tc>
          <w:tcPr>
            <w:tcW w:type="pct" w:w="6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Assign each Intune policy to the appropriate OrgPath-based dynamic group (Section 3). Ensure policy scope matches the original GPO's OU linkage + security filtering.</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Policy-to-group assignment matrix</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6</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Conflict Resolution</w:t>
            </w:r>
          </w:p>
        </w:tc>
        <w:tc>
          <w:tcPr>
            <w:tcW w:type="pct" w:w="6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Define precedence rules for overlapping policies. Intune uses a different conflict model than GPO: for most policy types, the most restrictive setting wins. For Settings Catalog profiles, the last-applied value may prevail. Document expected behavior for each conflict scenario.</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Conflict resolution documentation</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7</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Validation</w:t>
            </w:r>
          </w:p>
        </w:tc>
        <w:tc>
          <w:tcPr>
            <w:tcW w:type="pct" w:w="6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Use Intune device configuration reporting, device diagnostics collection (MDM Diagnostics), and device-side Event Viewer (DeviceManagement-Enterprise-Diagnostics-Provider) to verify that each Intune policy applies correctly and produces the same configuration state as the original GPO.</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Validation sign-off per policy</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4.3 GPO Settings with No Direct Intune Equivalent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Certain GPO capabilities do not have a one-to-one mapping in Intune. The following table identifies common settings in this category and provides the recommended remediation strategy.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GPO Capability</w:t>
            </w:r>
          </w:p>
        </w:tc>
        <w:tc>
          <w:tcPr>
            <w:tcW w:type="pct" w:w="17%"/>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AD Mechanism</w:t>
            </w:r>
          </w:p>
        </w:tc>
        <w:tc>
          <w:tcPr>
            <w:tcW w:type="pct" w:w="2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Recommended Cloud-Native Replacement</w:t>
            </w:r>
          </w:p>
        </w:tc>
        <w:tc>
          <w:tcPr>
            <w:tcW w:type="pct" w:w="4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Implementation Notes</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Mapped Network Drives</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Group Policy Preferences — Drive Mapping</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SharePoint Online / OneDrive Known Folder Move + Intune platform scripts for legacy UNC paths</w:t>
            </w:r>
          </w:p>
        </w:tc>
        <w:tc>
          <w:tcPr>
            <w:tcW w:type="pct" w:w="4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Prefer migration to SharePoint document libraries. For applications requiring UNC paths, deploy an Intune remediation script that creates persistent mapped drives.</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Logon / Startup Scripts</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Computer Configuration &gt; Scripts</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Intune Platform Scripts (PowerShell) or Proactive Remediations</w:t>
            </w:r>
          </w:p>
        </w:tc>
        <w:tc>
          <w:tcPr>
            <w:tcW w:type="pct" w:w="4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Platform scripts run once or per-schedule. Proactive remediations provide detect-and-remediate patterns. Neither is an exact logon-script equivalent; redesign script logic for cloud-native execution.</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Printer Deployment</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Group Policy Preferences — Printer Connections</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Universal Print</w:t>
            </w:r>
          </w:p>
        </w:tc>
        <w:tc>
          <w:tcPr>
            <w:tcW w:type="pct" w:w="4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Universal Print eliminates the need for print servers and GPO-based printer deployment. Printers are published to Entra ID and assigned to users or groups.</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Software Installation (MSI via GPO)</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Software Installation policy (Computer Configuration)</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Intune Win32 App Deployment / Windows Package Manager (winget)</w:t>
            </w:r>
          </w:p>
        </w:tc>
        <w:tc>
          <w:tcPr>
            <w:tcW w:type="pct" w:w="4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Package MSIs as Win32 apps (.intunewin format) for Intune deployment. Alternatively, use winget with Intune scripts for applications available in the winget repository.</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Fine-Grained Password Policies</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Password Settings Objects (PSOs) / Default Domain Policy</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Entra ID Password Protection + Conditional Access + Authentication Methods policies</w:t>
            </w:r>
          </w:p>
        </w:tc>
        <w:tc>
          <w:tcPr>
            <w:tcW w:type="pct" w:w="4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Entra ID manages password policies at the tenant level. Custom banned password lists and smart lockout replace PSO complexity. For cloud-native users, password policies are enforced in Entra ID, not on the device.</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Group Policy Preferences (Registry, Files, Shortcuts, Services)</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GPP items under Computer/User Configuration</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Intune Settings Catalog (where available), Remediations (PowerShell), or Custom OMA-URI</w:t>
            </w:r>
          </w:p>
        </w:tc>
        <w:tc>
          <w:tcPr>
            <w:tcW w:type="pct" w:w="4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The Settings Catalog covers many registry-based configurations. For file copy, shortcut creation, and service management, use Intune remediation scripts. Custom OMA-URI provides access to CSP-based settings not surfaced in the catalog.</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Folder Redirection</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User Configuration &gt; Folder Redirection</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OneDrive Known Folder Move (KFM)</w:t>
            </w:r>
          </w:p>
        </w:tc>
        <w:tc>
          <w:tcPr>
            <w:tcW w:type="pct" w:w="4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KFM silently redirects Desktop, Documents, and Pictures to OneDrive for Business. Configure via Intune administrative template for OneDrive.</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Internet Explorer Site-to-Zone Assignment</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Administrative Templates &gt; Internet Explorer</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Microsoft Edge Site Lists (IE Mode) via Intune</w:t>
            </w:r>
          </w:p>
        </w:tc>
        <w:tc>
          <w:tcPr>
            <w:tcW w:type="pct" w:w="4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Legacy IE settings are migrated to Edge IE Mode site lists. Deploy the site list XML via Intune configuration profile and configure Edge to use IE Mode for specified sites.</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4.4 Policy Drift Detection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Policy drift occurs when a device's actual configuration state diverges from its assigned policy intent. The detection and remediation model differs between the AD/GPO and Intune paradigms.</w:t>
      </w:r>
    </w:p>
    <w:p>
      <w:pPr>
        <w:pStyle w:val="Heading3"/>
        <w:spacing w:after="120" w:before="240" w:line="312" w:lineRule="auto"/>
      </w:pPr>
      <w:r>
        <w:rPr>
          <w:rFonts w:ascii="Calibri" w:cs="Calibri" w:eastAsia="Calibri" w:hAnsi="Calibri"/>
          <w:color w:val="1A1A1A"/>
          <w:sz w:val="28"/>
          <w:szCs w:val="28"/>
        </w:rPr>
        <w:t xml:space="preserve">4.4.1 GPO Drift Model (Legacy)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In the AD model, GPO drift manifests as a difference between the expected RSoP (Resultant Set of Policy) and the actual applied configuration. Common causes include: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WMI filter failures preventing GPO application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Blocked inheritance or enforced GPO overrides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Stale AD replication causing outdated GPO versions on domain controllers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Slow-link detection disabling background policy refresh</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Local policy edits overriding domain policy</w:t>
      </w:r>
    </w:p>
    <w:p>
      <w:pPr>
        <w:pStyle w:val="Heading3"/>
        <w:spacing w:after="120" w:before="240" w:line="312" w:lineRule="auto"/>
      </w:pPr>
      <w:r>
        <w:rPr>
          <w:rFonts w:ascii="Calibri" w:cs="Calibri" w:eastAsia="Calibri" w:hAnsi="Calibri"/>
          <w:color w:val="1A1A1A"/>
          <w:sz w:val="28"/>
          <w:szCs w:val="28"/>
        </w:rPr>
        <w:t xml:space="preserve">4.4.2 Intune Drift Model (Modern)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In the Intune model, drift detection is native to the platform. Each policy assignment produces a device-level compliance or configuration status. Drift signals include: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Drift Signal</w:t>
            </w:r>
          </w:p>
        </w:tc>
        <w:tc>
          <w:tcPr>
            <w:tcW w:type="pct" w:w="16%"/>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Source</w:t>
            </w:r>
          </w:p>
        </w:tc>
        <w:tc>
          <w:tcPr>
            <w:tcW w:type="pct" w:w="3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Indicates</w:t>
            </w:r>
          </w:p>
        </w:tc>
        <w:tc>
          <w:tcPr>
            <w:tcW w:type="pct" w:w="3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Remediation Action</w:t>
            </w:r>
          </w:p>
        </w:tc>
      </w:tr>
      <w:tr>
        <w:trPr>
          <w:tblHeader w:val="false"/>
        </w:trPr>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Non-compliant device status</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Compliance Policy evaluation</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Device does not meet one or more compliance requirements</w:t>
            </w:r>
          </w:p>
        </w:tc>
        <w:tc>
          <w:tcPr>
            <w:tcW w:type="pct" w:w="3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Automated: mark non-compliant, send user notification, block access via Conditional Access. Manual: investigate root cause.</w:t>
            </w:r>
          </w:p>
        </w:tc>
      </w:tr>
      <w:tr>
        <w:trPr>
          <w:tblHeader w:val="false"/>
        </w:trPr>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Configuration profile error</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Configuration Profile reporting</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 setting in the profile could not be applied (conflict, unsupported, or device-side error)</w:t>
            </w:r>
          </w:p>
        </w:tc>
        <w:tc>
          <w:tcPr>
            <w:tcW w:type="pct" w:w="3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Review device diagnostics. Resolve setting conflicts. Verify device OS version compatibility.</w:t>
            </w:r>
          </w:p>
        </w:tc>
      </w:tr>
      <w:tr>
        <w:trPr>
          <w:tblHeader w:val="false"/>
        </w:trPr>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Remediation script failure</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Proactive Remediations reporting</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Detection script identified drift; remediation script failed to correct it</w:t>
            </w:r>
          </w:p>
        </w:tc>
        <w:tc>
          <w:tcPr>
            <w:tcW w:type="pct" w:w="3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Review script execution logs. Fix script logic or address underlying system issue.</w:t>
            </w:r>
          </w:p>
        </w:tc>
      </w:tr>
      <w:tr>
        <w:trPr>
          <w:tblHeader w:val="false"/>
        </w:trPr>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Security baseline deviation</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Security Baseline reporting</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Device settings do not match the assigned security baseline version</w:t>
            </w:r>
          </w:p>
        </w:tc>
        <w:tc>
          <w:tcPr>
            <w:tcW w:type="pct" w:w="3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Force baseline re-evaluation via device sync. Investigate setting conflicts with other profiles.</w:t>
            </w:r>
          </w:p>
        </w:tc>
      </w:tr>
    </w:tbl>
    <w:p>
      <w:pPr>
        <w:spacing w:after="200" w:before="0"/>
      </w:pPr>
    </w:p>
    <w:p>
      <w:pPr>
        <w:pStyle w:val="Heading3"/>
        <w:spacing w:after="120" w:before="240" w:line="312" w:lineRule="auto"/>
      </w:pPr>
      <w:r>
        <w:rPr>
          <w:rFonts w:ascii="Calibri" w:cs="Calibri" w:eastAsia="Calibri" w:hAnsi="Calibri"/>
          <w:color w:val="1A1A1A"/>
          <w:sz w:val="28"/>
          <w:szCs w:val="28"/>
        </w:rPr>
        <w:t xml:space="preserve">4.4.3 Drift Detection Governance Rules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Rule ID</w:t>
            </w:r>
          </w:p>
        </w:tc>
        <w:tc>
          <w:tcPr>
            <w:tcW w:type="pct" w:w="5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Governance Rule</w:t>
            </w:r>
          </w:p>
        </w:tc>
        <w:tc>
          <w:tcPr>
            <w:tcW w:type="pct" w:w="3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SLA</w:t>
            </w:r>
          </w:p>
        </w:tc>
      </w:tr>
      <w:tr>
        <w:trPr>
          <w:tblHeader w:val="false"/>
        </w:trPr>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DFT-001</w:t>
            </w:r>
          </w:p>
        </w:tc>
        <w:tc>
          <w:tcPr>
            <w:tcW w:type="pct" w:w="5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Non-compliant devices must be investigated and remediation initiated within the defined SLA per device tier.</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Tier 0: 4 hours; Tier 1: 24 hours; Tier 2: 72 hours</w:t>
            </w:r>
          </w:p>
        </w:tc>
      </w:tr>
      <w:tr>
        <w:trPr>
          <w:tblHeader w:val="false"/>
        </w:trPr>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DFT-002</w:t>
            </w:r>
          </w:p>
        </w:tc>
        <w:tc>
          <w:tcPr>
            <w:tcW w:type="pct" w:w="5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Configuration profile errors must be resolved or escalated within the defined SLA.</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Tier 0: 4 hours; Tier 1: 24 hours; Tier 2: 5 business days</w:t>
            </w:r>
          </w:p>
        </w:tc>
      </w:tr>
      <w:tr>
        <w:trPr>
          <w:tblHeader w:val="false"/>
        </w:trPr>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DFT-003</w:t>
            </w:r>
          </w:p>
        </w:tc>
        <w:tc>
          <w:tcPr>
            <w:tcW w:type="pct" w:w="5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Devices in persistent non-compliance (exceeding three consecutive remediation cycles) must be escalated to governance review.</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Escalation within 1 business day of third failure</w:t>
            </w:r>
          </w:p>
        </w:tc>
      </w:tr>
      <w:tr>
        <w:trPr>
          <w:tblHeader w:val="false"/>
        </w:trPr>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DFT-004</w:t>
            </w:r>
          </w:p>
        </w:tc>
        <w:tc>
          <w:tcPr>
            <w:tcW w:type="pct" w:w="5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Remediation script failures with exit code indicating systemic issue must trigger a problem management ticket.</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Problem ticket opened within 24 hours</w:t>
            </w:r>
          </w:p>
        </w:tc>
      </w:tr>
    </w:tbl>
    <w:p>
      <w:pPr>
        <w:spacing w:after="200" w:before="0"/>
      </w:pPr>
    </w:p>
    <w:p>
      <w:pPr>
        <w:pStyle w:val="Heading1"/>
        <w:spacing w:after="120" w:before="480" w:line="312" w:lineRule="auto"/>
      </w:pPr>
      <w:r>
        <w:rPr>
          <w:rFonts w:ascii="Calibri" w:cs="Calibri" w:eastAsia="Calibri" w:hAnsi="Calibri"/>
          <w:color w:val="1A1A1A"/>
          <w:sz w:val="48"/>
          <w:szCs w:val="48"/>
        </w:rPr>
        <w:t xml:space="preserve">5. Azure Arc Enrollment Governance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Azure Arc extends the Azure management plane to machines that reside outside Azure — on-premises physical servers, on-premises virtual machines, and virtual machines hosted in non-Azure cloud environments (AWS EC2, GCP Compute Engine). For these machines, Azure Arc provides the governance surface that Intune provides for client endpoints: policy enforcement, compliance reporting, update management, and security posture assessment.</w:t>
      </w:r>
    </w:p>
    <w:p>
      <w:pPr>
        <w:pStyle w:val="Heading2"/>
        <w:spacing w:after="120" w:before="360" w:line="312" w:lineRule="auto"/>
      </w:pPr>
      <w:r>
        <w:rPr>
          <w:rFonts w:ascii="Calibri" w:cs="Calibri" w:eastAsia="Calibri" w:hAnsi="Calibri"/>
          <w:color w:val="1A1A1A"/>
          <w:sz w:val="36"/>
          <w:szCs w:val="36"/>
        </w:rPr>
        <w:t xml:space="preserve">5.1 Arc Enrollment Scope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Machine Category</w:t>
            </w:r>
          </w:p>
        </w:tc>
        <w:tc>
          <w:tcPr>
            <w:tcW w:type="pct" w:w="1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Arc Enrollment</w:t>
            </w:r>
          </w:p>
        </w:tc>
        <w:tc>
          <w:tcPr>
            <w:tcW w:type="pct" w:w="6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Rationale</w:t>
            </w:r>
          </w:p>
        </w:tc>
      </w:tr>
      <w:tr>
        <w:trPr>
          <w:tblHeader w:val="false"/>
        </w:trPr>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On-premises physical servers</w:t>
            </w:r>
          </w:p>
        </w:tc>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In Scope</w:t>
            </w:r>
          </w:p>
        </w:tc>
        <w:tc>
          <w:tcPr>
            <w:tcW w:type="pct" w:w="6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No native Azure management plane. Arc provides Azure Policy, Guest Configuration, Update Manager, and Defender for Cloud integration.</w:t>
            </w:r>
          </w:p>
        </w:tc>
      </w:tr>
      <w:tr>
        <w:trPr>
          <w:tblHeader w:val="false"/>
        </w:trPr>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On-premises virtual machines (Hyper-V, VMware)</w:t>
            </w:r>
          </w:p>
        </w:tc>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In Scope</w:t>
            </w:r>
          </w:p>
        </w:tc>
        <w:tc>
          <w:tcPr>
            <w:tcW w:type="pct" w:w="6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Same rationale as physical servers. Arc agent installs at the guest OS level.</w:t>
            </w:r>
          </w:p>
        </w:tc>
      </w:tr>
      <w:tr>
        <w:trPr>
          <w:tblHeader w:val="false"/>
        </w:trPr>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Non-Azure cloud VMs (AWS, GCP)</w:t>
            </w:r>
          </w:p>
        </w:tc>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In Scope</w:t>
            </w:r>
          </w:p>
        </w:tc>
        <w:tc>
          <w:tcPr>
            <w:tcW w:type="pct" w:w="6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Provides unified Azure governance across multi-cloud environments. Normalizes policy enforcement regardless of hosting platform.</w:t>
            </w:r>
          </w:p>
        </w:tc>
      </w:tr>
      <w:tr>
        <w:trPr>
          <w:tblHeader w:val="false"/>
        </w:trPr>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Azure virtual machines</w:t>
            </w:r>
          </w:p>
        </w:tc>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Excluded</w:t>
            </w:r>
          </w:p>
        </w:tc>
        <w:tc>
          <w:tcPr>
            <w:tcW w:type="pct" w:w="6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Azure VMs already have native Azure management through the Azure VM agent. Installing the Arc agent on Azure VMs is blocked by default and unsupported.</w:t>
            </w:r>
          </w:p>
        </w:tc>
      </w:tr>
      <w:tr>
        <w:trPr>
          <w:tblHeader w:val="false"/>
        </w:trPr>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Client workstations / endpoints</w:t>
            </w:r>
          </w:p>
        </w:tc>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Excluded</w:t>
            </w:r>
          </w:p>
        </w:tc>
        <w:tc>
          <w:tcPr>
            <w:tcW w:type="pct" w:w="6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Client endpoints are managed via Intune (Entra Join or Hybrid Entra Join). Arc is designed for server workloads.</w:t>
            </w:r>
          </w:p>
        </w:tc>
      </w:tr>
    </w:tbl>
    <w:p>
      <w:pPr>
        <w:spacing w:after="200" w:before="0"/>
      </w:pPr>
    </w:p>
    <w:p>
      <w:pPr>
        <w:pStyle w:val="Heading3"/>
        <w:spacing w:after="120" w:before="240" w:line="312" w:lineRule="auto"/>
      </w:pPr>
      <w:r>
        <w:rPr>
          <w:rFonts w:ascii="Calibri" w:cs="Calibri" w:eastAsia="Calibri" w:hAnsi="Calibri"/>
          <w:color w:val="1A1A1A"/>
          <w:sz w:val="28"/>
          <w:szCs w:val="28"/>
        </w:rPr>
        <w:t xml:space="preserve">Identity Plane Reconciliation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Arc-enabled servers receive an Azure resource identity in Azure Resource Manager but may also possess an Entra ID device identity if they are Hybrid Entra Joined. These are distinct identity planes: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Azure Resource Manager identity:</w:t>
      </w:r>
      <w:r>
        <w:rPr>
          <w:rFonts w:ascii="Calibri" w:cs="Calibri" w:eastAsia="Calibri" w:hAnsi="Calibri"/>
          <w:b w:val="false"/>
          <w:bCs w:val="false"/>
          <w:i w:val="false"/>
          <w:iCs w:val="false"/>
          <w:strike w:val="false"/>
          <w:color w:val="000000"/>
          <w:sz w:val="22"/>
          <w:szCs w:val="22"/>
        </w:rPr>
        <w:t xml:space="preserve"> Managed through subscriptions, resource groups, RBAC, and Azure Policy. Used for infrastructure governance.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Entra ID device identity:</w:t>
      </w:r>
      <w:r>
        <w:rPr>
          <w:rFonts w:ascii="Calibri" w:cs="Calibri" w:eastAsia="Calibri" w:hAnsi="Calibri"/>
          <w:b w:val="false"/>
          <w:bCs w:val="false"/>
          <w:i w:val="false"/>
          <w:iCs w:val="false"/>
          <w:strike w:val="false"/>
          <w:color w:val="000000"/>
          <w:sz w:val="22"/>
          <w:szCs w:val="22"/>
        </w:rPr>
        <w:t xml:space="preserve"> Managed through Entra ID device properties, extension attributes, and dynamic groups. Used for identity governance and Conditional Access.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Dual-identity servers must have both identity planes maintained and reconciled. OrgPath metadata must be consistent across extension attributes (Entra ID) and Azure tags (Resource Manager).</w:t>
      </w:r>
    </w:p>
    <w:p>
      <w:pPr>
        <w:pStyle w:val="Heading2"/>
        <w:spacing w:after="120" w:before="360" w:line="312" w:lineRule="auto"/>
      </w:pPr>
      <w:r>
        <w:rPr>
          <w:rFonts w:ascii="Calibri" w:cs="Calibri" w:eastAsia="Calibri" w:hAnsi="Calibri"/>
          <w:color w:val="1A1A1A"/>
          <w:sz w:val="36"/>
          <w:szCs w:val="36"/>
        </w:rPr>
        <w:t xml:space="preserve">5.2 Resource Hierarchy Design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Azure Arc uses the Azure resource hierarchy (Management Groups &gt; Subscriptions &gt; Resource Groups) as its organizational model, replacing the AD OU tree for server infrastructure governance. The following tiered design aligns the Azure resource hierarchy with the enterprise access model.</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AD Tier</w:t>
            </w:r>
          </w:p>
        </w:tc>
        <w:tc>
          <w:tcPr>
            <w:tcW w:type="pct" w:w="2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AD OU Pattern</w:t>
            </w:r>
          </w:p>
        </w:tc>
        <w:tc>
          <w:tcPr>
            <w:tcW w:type="pct" w:w="26%"/>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Azure Arc Equivalent</w:t>
            </w:r>
          </w:p>
        </w:tc>
        <w:tc>
          <w:tcPr>
            <w:tcW w:type="pct" w:w="4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Governance Boundary</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Tier 0</w:t>
            </w:r>
          </w:p>
        </w:tc>
        <w:tc>
          <w:tcPr>
            <w:tcW w:type="pct" w:w="20%"/>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OU=DomainControllers,DC=contoso,DC=com</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Subscription: </w:t>
            </w:r>
            <w:r>
              <w:rPr>
                <w:rFonts w:ascii="Courier New" w:cs="Courier New" w:eastAsia="Courier New" w:hAnsi="Courier New"/>
                <w:b w:val="false"/>
                <w:bCs w:val="false"/>
                <w:i w:val="false"/>
                <w:iCs w:val="false"/>
                <w:color w:val="000000"/>
                <w:sz w:val="18"/>
                <w:szCs w:val="18"/>
                <w:shd w:fill="F3F4F6" w:color="auto" w:val="clear"/>
              </w:rPr>
              <w:t xml:space="preserve">Identity-Infrastructure</w:t>
            </w:r>
            <w:r>
              <w:rPr>
                <w:rFonts w:ascii="Calibri" w:cs="Calibri" w:eastAsia="Calibri" w:hAnsi="Calibri"/>
                <w:b w:val="false"/>
                <w:bCs w:val="false"/>
                <w:i w:val="false"/>
                <w:iCs w:val="false"/>
                <w:color w:val="000000"/>
                <w:sz w:val="20"/>
                <w:szCs w:val="20"/>
              </w:rPr>
              <w:t xml:space="preserve">
</w:t>
            </w:r>
            <w:r>
              <w:rPr>
                <w:rFonts w:ascii="Calibri" w:cs="Calibri" w:eastAsia="Calibri" w:hAnsi="Calibri"/>
                <w:b w:val="false"/>
                <w:bCs w:val="false"/>
                <w:i w:val="false"/>
                <w:iCs w:val="false"/>
                <w:strike w:val="false"/>
                <w:color w:val="000000"/>
                <w:sz w:val="20"/>
                <w:szCs w:val="20"/>
              </w:rPr>
              <w:t xml:space="preserve">Resource Group: </w:t>
            </w:r>
            <w:r>
              <w:rPr>
                <w:rFonts w:ascii="Courier New" w:cs="Courier New" w:eastAsia="Courier New" w:hAnsi="Courier New"/>
                <w:b w:val="false"/>
                <w:bCs w:val="false"/>
                <w:i w:val="false"/>
                <w:iCs w:val="false"/>
                <w:color w:val="000000"/>
                <w:sz w:val="18"/>
                <w:szCs w:val="18"/>
                <w:shd w:fill="F3F4F6" w:color="auto" w:val="clear"/>
              </w:rPr>
              <w:t xml:space="preserve">Arc-Tier0-DomainControllers</w:t>
            </w:r>
          </w:p>
        </w:tc>
        <w:tc>
          <w:tcPr>
            <w:tcW w:type="pct" w:w="4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Restricted RBAC with PIM-activated roles only. No shared administrative access. Break-glass account governance applies.</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Tier 1</w:t>
            </w:r>
          </w:p>
        </w:tc>
        <w:tc>
          <w:tcPr>
            <w:tcW w:type="pct" w:w="20%"/>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OU=MemberServers,OU=AppX,DC=contoso,DC=com</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Subscription: </w:t>
            </w:r>
            <w:r>
              <w:rPr>
                <w:rFonts w:ascii="Courier New" w:cs="Courier New" w:eastAsia="Courier New" w:hAnsi="Courier New"/>
                <w:b w:val="false"/>
                <w:bCs w:val="false"/>
                <w:i w:val="false"/>
                <w:iCs w:val="false"/>
                <w:color w:val="000000"/>
                <w:sz w:val="18"/>
                <w:szCs w:val="18"/>
                <w:shd w:fill="F3F4F6" w:color="auto" w:val="clear"/>
              </w:rPr>
              <w:t xml:space="preserve">Workload-AppX</w:t>
            </w:r>
            <w:r>
              <w:rPr>
                <w:rFonts w:ascii="Calibri" w:cs="Calibri" w:eastAsia="Calibri" w:hAnsi="Calibri"/>
                <w:b w:val="false"/>
                <w:bCs w:val="false"/>
                <w:i w:val="false"/>
                <w:iCs w:val="false"/>
                <w:color w:val="000000"/>
                <w:sz w:val="20"/>
                <w:szCs w:val="20"/>
              </w:rPr>
              <w:t xml:space="preserve">
</w:t>
            </w:r>
            <w:r>
              <w:rPr>
                <w:rFonts w:ascii="Calibri" w:cs="Calibri" w:eastAsia="Calibri" w:hAnsi="Calibri"/>
                <w:b w:val="false"/>
                <w:bCs w:val="false"/>
                <w:i w:val="false"/>
                <w:iCs w:val="false"/>
                <w:strike w:val="false"/>
                <w:color w:val="000000"/>
                <w:sz w:val="20"/>
                <w:szCs w:val="20"/>
              </w:rPr>
              <w:t xml:space="preserve">Resource Group: </w:t>
            </w:r>
            <w:r>
              <w:rPr>
                <w:rFonts w:ascii="Courier New" w:cs="Courier New" w:eastAsia="Courier New" w:hAnsi="Courier New"/>
                <w:b w:val="false"/>
                <w:bCs w:val="false"/>
                <w:i w:val="false"/>
                <w:iCs w:val="false"/>
                <w:color w:val="000000"/>
                <w:sz w:val="18"/>
                <w:szCs w:val="18"/>
                <w:shd w:fill="F3F4F6" w:color="auto" w:val="clear"/>
              </w:rPr>
              <w:t xml:space="preserve">Arc-Tier1-AppX-Servers</w:t>
            </w:r>
          </w:p>
        </w:tc>
        <w:tc>
          <w:tcPr>
            <w:tcW w:type="pct" w:w="4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Workload-scoped RBAC. Application team has Contributor on resource group. Platform team has Reader + Policy assignments at subscription level.</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Tier 1 (Shared Services)</w:t>
            </w:r>
          </w:p>
        </w:tc>
        <w:tc>
          <w:tcPr>
            <w:tcW w:type="pct" w:w="20%"/>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OU=MemberServers,OU=Infrastructure,DC=contoso,DC=com</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Subscription: </w:t>
            </w:r>
            <w:r>
              <w:rPr>
                <w:rFonts w:ascii="Courier New" w:cs="Courier New" w:eastAsia="Courier New" w:hAnsi="Courier New"/>
                <w:b w:val="false"/>
                <w:bCs w:val="false"/>
                <w:i w:val="false"/>
                <w:iCs w:val="false"/>
                <w:color w:val="000000"/>
                <w:sz w:val="18"/>
                <w:szCs w:val="18"/>
                <w:shd w:fill="F3F4F6" w:color="auto" w:val="clear"/>
              </w:rPr>
              <w:t xml:space="preserve">Shared-Infrastructure</w:t>
            </w:r>
            <w:r>
              <w:rPr>
                <w:rFonts w:ascii="Calibri" w:cs="Calibri" w:eastAsia="Calibri" w:hAnsi="Calibri"/>
                <w:b w:val="false"/>
                <w:bCs w:val="false"/>
                <w:i w:val="false"/>
                <w:iCs w:val="false"/>
                <w:color w:val="000000"/>
                <w:sz w:val="20"/>
                <w:szCs w:val="20"/>
              </w:rPr>
              <w:t xml:space="preserve">
</w:t>
            </w:r>
            <w:r>
              <w:rPr>
                <w:rFonts w:ascii="Calibri" w:cs="Calibri" w:eastAsia="Calibri" w:hAnsi="Calibri"/>
                <w:b w:val="false"/>
                <w:bCs w:val="false"/>
                <w:i w:val="false"/>
                <w:iCs w:val="false"/>
                <w:strike w:val="false"/>
                <w:color w:val="000000"/>
                <w:sz w:val="20"/>
                <w:szCs w:val="20"/>
              </w:rPr>
              <w:t xml:space="preserve">Resource Group: </w:t>
            </w:r>
            <w:r>
              <w:rPr>
                <w:rFonts w:ascii="Courier New" w:cs="Courier New" w:eastAsia="Courier New" w:hAnsi="Courier New"/>
                <w:b w:val="false"/>
                <w:bCs w:val="false"/>
                <w:i w:val="false"/>
                <w:iCs w:val="false"/>
                <w:color w:val="000000"/>
                <w:sz w:val="18"/>
                <w:szCs w:val="18"/>
                <w:shd w:fill="F3F4F6" w:color="auto" w:val="clear"/>
              </w:rPr>
              <w:t xml:space="preserve">Arc-Tier1-SharedSvc</w:t>
            </w:r>
          </w:p>
        </w:tc>
        <w:tc>
          <w:tcPr>
            <w:tcW w:type="pct" w:w="4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Platform team RBAC. Application teams have no direct access. Policy enforcement for shared infrastructure baselines.</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Tier 2</w:t>
            </w:r>
          </w:p>
        </w:tc>
        <w:tc>
          <w:tcPr>
            <w:tcW w:type="pct" w:w="20%"/>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OU=Workstations</w:t>
            </w:r>
            <w:r>
              <w:rPr>
                <w:rFonts w:ascii="Calibri" w:cs="Calibri" w:eastAsia="Calibri" w:hAnsi="Calibri"/>
                <w:b w:val="false"/>
                <w:bCs w:val="false"/>
                <w:i w:val="false"/>
                <w:iCs w:val="false"/>
                <w:strike w:val="false"/>
                <w:color w:val="000000"/>
                <w:sz w:val="20"/>
                <w:szCs w:val="20"/>
              </w:rPr>
              <w:t xml:space="preserve"> (if Arc-managed endpoints exist)</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Subscription: </w:t>
            </w:r>
            <w:r>
              <w:rPr>
                <w:rFonts w:ascii="Courier New" w:cs="Courier New" w:eastAsia="Courier New" w:hAnsi="Courier New"/>
                <w:b w:val="false"/>
                <w:bCs w:val="false"/>
                <w:i w:val="false"/>
                <w:iCs w:val="false"/>
                <w:color w:val="000000"/>
                <w:sz w:val="18"/>
                <w:szCs w:val="18"/>
                <w:shd w:fill="F3F4F6" w:color="auto" w:val="clear"/>
              </w:rPr>
              <w:t xml:space="preserve">Endpoints</w:t>
            </w:r>
            <w:r>
              <w:rPr>
                <w:rFonts w:ascii="Calibri" w:cs="Calibri" w:eastAsia="Calibri" w:hAnsi="Calibri"/>
                <w:b w:val="false"/>
                <w:bCs w:val="false"/>
                <w:i w:val="false"/>
                <w:iCs w:val="false"/>
                <w:color w:val="000000"/>
                <w:sz w:val="20"/>
                <w:szCs w:val="20"/>
              </w:rPr>
              <w:t xml:space="preserve">
</w:t>
            </w:r>
            <w:r>
              <w:rPr>
                <w:rFonts w:ascii="Calibri" w:cs="Calibri" w:eastAsia="Calibri" w:hAnsi="Calibri"/>
                <w:b w:val="false"/>
                <w:bCs w:val="false"/>
                <w:i w:val="false"/>
                <w:iCs w:val="false"/>
                <w:strike w:val="false"/>
                <w:color w:val="000000"/>
                <w:sz w:val="20"/>
                <w:szCs w:val="20"/>
              </w:rPr>
              <w:t xml:space="preserve">Resource Group: </w:t>
            </w:r>
            <w:r>
              <w:rPr>
                <w:rFonts w:ascii="Courier New" w:cs="Courier New" w:eastAsia="Courier New" w:hAnsi="Courier New"/>
                <w:b w:val="false"/>
                <w:bCs w:val="false"/>
                <w:i w:val="false"/>
                <w:iCs w:val="false"/>
                <w:color w:val="000000"/>
                <w:sz w:val="18"/>
                <w:szCs w:val="18"/>
                <w:shd w:fill="F3F4F6" w:color="auto" w:val="clear"/>
              </w:rPr>
              <w:t xml:space="preserve">Arc-Tier2-Endpoints</w:t>
            </w:r>
          </w:p>
        </w:tc>
        <w:tc>
          <w:tcPr>
            <w:tcW w:type="pct" w:w="4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Standard RBAC. Helpdesk and endpoint management roles. Limited administrative scope.</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5.3 Arc Enrollment Prerequisites and Process</w:t>
      </w:r>
    </w:p>
    <w:p>
      <w:pPr>
        <w:pStyle w:val="Heading3"/>
        <w:spacing w:after="120" w:before="240" w:line="312" w:lineRule="auto"/>
      </w:pPr>
      <w:r>
        <w:rPr>
          <w:rFonts w:ascii="Calibri" w:cs="Calibri" w:eastAsia="Calibri" w:hAnsi="Calibri"/>
          <w:color w:val="1A1A1A"/>
          <w:sz w:val="28"/>
          <w:szCs w:val="28"/>
        </w:rPr>
        <w:t xml:space="preserve">5.3.1 Azure Resource Providers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Azure resource providers must be registered in each subscription used for Arc enrollment:</w:t>
      </w:r>
    </w:p>
    <w:p>
      <w:pPr>
        <w:pStyle w:val="ListParagraph"/>
        <w:numPr>
          <w:ilvl w:val="0"/>
          <w:numId w:val="1"/>
        </w:numPr>
        <w:spacing w:after="60" w:line="408" w:lineRule="auto"/>
        <w:ind w:left="720" w:hanging="360"/>
      </w:pPr>
      <w:r>
        <w:rPr>
          <w:rFonts w:ascii="Courier New" w:cs="Courier New" w:eastAsia="Courier New" w:hAnsi="Courier New"/>
          <w:b w:val="false"/>
          <w:bCs w:val="false"/>
          <w:i w:val="false"/>
          <w:iCs w:val="false"/>
          <w:color w:val="000000"/>
          <w:sz w:val="20"/>
          <w:szCs w:val="20"/>
          <w:shd w:fill="F3F4F6" w:color="auto" w:val="clear"/>
        </w:rPr>
        <w:t xml:space="preserve">Microsoft.HybridCompute</w:t>
      </w:r>
      <w:r>
        <w:rPr>
          <w:rFonts w:ascii="Calibri" w:cs="Calibri" w:eastAsia="Calibri" w:hAnsi="Calibri"/>
          <w:b w:val="false"/>
          <w:bCs w:val="false"/>
          <w:i w:val="false"/>
          <w:iCs w:val="false"/>
          <w:strike w:val="false"/>
          <w:color w:val="000000"/>
          <w:sz w:val="22"/>
          <w:szCs w:val="22"/>
        </w:rPr>
        <w:t xml:space="preserve"> — Core Arc-enabled server resource type</w:t>
      </w:r>
    </w:p>
    <w:p>
      <w:pPr>
        <w:pStyle w:val="ListParagraph"/>
        <w:numPr>
          <w:ilvl w:val="0"/>
          <w:numId w:val="1"/>
        </w:numPr>
        <w:spacing w:after="60" w:line="408" w:lineRule="auto"/>
        <w:ind w:left="720" w:hanging="360"/>
      </w:pPr>
      <w:r>
        <w:rPr>
          <w:rFonts w:ascii="Courier New" w:cs="Courier New" w:eastAsia="Courier New" w:hAnsi="Courier New"/>
          <w:b w:val="false"/>
          <w:bCs w:val="false"/>
          <w:i w:val="false"/>
          <w:iCs w:val="false"/>
          <w:color w:val="000000"/>
          <w:sz w:val="20"/>
          <w:szCs w:val="20"/>
          <w:shd w:fill="F3F4F6" w:color="auto" w:val="clear"/>
        </w:rPr>
        <w:t xml:space="preserve">Microsoft.GuestConfiguration</w:t>
      </w:r>
      <w:r>
        <w:rPr>
          <w:rFonts w:ascii="Calibri" w:cs="Calibri" w:eastAsia="Calibri" w:hAnsi="Calibri"/>
          <w:b w:val="false"/>
          <w:bCs w:val="false"/>
          <w:i w:val="false"/>
          <w:iCs w:val="false"/>
          <w:strike w:val="false"/>
          <w:color w:val="000000"/>
          <w:sz w:val="22"/>
          <w:szCs w:val="22"/>
        </w:rPr>
        <w:t xml:space="preserve"> — Machine Configuration (Guest Configuration) policy evaluation</w:t>
      </w:r>
    </w:p>
    <w:p>
      <w:pPr>
        <w:pStyle w:val="ListParagraph"/>
        <w:numPr>
          <w:ilvl w:val="0"/>
          <w:numId w:val="1"/>
        </w:numPr>
        <w:spacing w:after="60" w:line="408" w:lineRule="auto"/>
        <w:ind w:left="720" w:hanging="360"/>
      </w:pPr>
      <w:r>
        <w:rPr>
          <w:rFonts w:ascii="Courier New" w:cs="Courier New" w:eastAsia="Courier New" w:hAnsi="Courier New"/>
          <w:b w:val="false"/>
          <w:bCs w:val="false"/>
          <w:i w:val="false"/>
          <w:iCs w:val="false"/>
          <w:color w:val="000000"/>
          <w:sz w:val="20"/>
          <w:szCs w:val="20"/>
          <w:shd w:fill="F3F4F6" w:color="auto" w:val="clear"/>
        </w:rPr>
        <w:t xml:space="preserve">Microsoft.HybridConnectivity</w:t>
      </w:r>
      <w:r>
        <w:rPr>
          <w:rFonts w:ascii="Calibri" w:cs="Calibri" w:eastAsia="Calibri" w:hAnsi="Calibri"/>
          <w:b w:val="false"/>
          <w:bCs w:val="false"/>
          <w:i w:val="false"/>
          <w:iCs w:val="false"/>
          <w:strike w:val="false"/>
          <w:color w:val="000000"/>
          <w:sz w:val="22"/>
          <w:szCs w:val="22"/>
        </w:rPr>
        <w:t xml:space="preserve"> — SSH and Windows Admin Center connectivity for Arc servers</w:t>
      </w:r>
    </w:p>
    <w:p>
      <w:pPr>
        <w:pStyle w:val="Heading3"/>
        <w:spacing w:after="120" w:before="240" w:line="312" w:lineRule="auto"/>
      </w:pPr>
      <w:r>
        <w:rPr>
          <w:rFonts w:ascii="Calibri" w:cs="Calibri" w:eastAsia="Calibri" w:hAnsi="Calibri"/>
          <w:color w:val="1A1A1A"/>
          <w:sz w:val="28"/>
          <w:szCs w:val="28"/>
        </w:rPr>
        <w:t xml:space="preserve">5.3.2 RBAC Roles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RBAC Role</w:t>
            </w:r>
          </w:p>
        </w:tc>
        <w:tc>
          <w:tcPr>
            <w:tcW w:type="pct" w:w="3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Purpose</w:t>
            </w:r>
          </w:p>
        </w:tc>
        <w:tc>
          <w:tcPr>
            <w:tcW w:type="pct" w:w="3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Assignment Scope</w:t>
            </w:r>
          </w:p>
        </w:tc>
      </w:tr>
      <w:tr>
        <w:trPr>
          <w:tblHeader w:val="false"/>
        </w:trPr>
        <w:tc>
          <w:tcPr>
            <w:tcW w:type="pct" w:w="2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Azure Connected Machine Onboarding</w:t>
            </w:r>
          </w:p>
        </w:tc>
        <w:tc>
          <w:tcPr>
            <w:tcW w:type="pct" w:w="3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Permits registration of new Arc-enabled servers. Cannot manage or delete existing resources.</w:t>
            </w:r>
          </w:p>
        </w:tc>
        <w:tc>
          <w:tcPr>
            <w:tcW w:type="pct" w:w="3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Assign to the service principal or user account performing enrollment, scoped to the target resource group.</w:t>
            </w:r>
          </w:p>
        </w:tc>
      </w:tr>
      <w:tr>
        <w:trPr>
          <w:tblHeader w:val="false"/>
        </w:trPr>
        <w:tc>
          <w:tcPr>
            <w:tcW w:type="pct" w:w="2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Azure Connected Machine Resource Administrator</w:t>
            </w:r>
          </w:p>
        </w:tc>
        <w:tc>
          <w:tcPr>
            <w:tcW w:type="pct" w:w="3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Full read, write, and delete permissions on Arc-enabled server resources. Includes extension management.</w:t>
            </w:r>
          </w:p>
        </w:tc>
        <w:tc>
          <w:tcPr>
            <w:tcW w:type="pct" w:w="3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Assign to the platform operations team, scoped to subscription or resource group per tier.</w:t>
            </w:r>
          </w:p>
        </w:tc>
      </w:tr>
      <w:tr>
        <w:trPr>
          <w:tblHeader w:val="false"/>
        </w:trPr>
        <w:tc>
          <w:tcPr>
            <w:tcW w:type="pct" w:w="2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Guest Configuration Resource Contributor</w:t>
            </w:r>
          </w:p>
        </w:tc>
        <w:tc>
          <w:tcPr>
            <w:tcW w:type="pct" w:w="3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Permits creation and assignment of Guest Configuration (Machine Configuration) assignments.</w:t>
            </w:r>
          </w:p>
        </w:tc>
        <w:tc>
          <w:tcPr>
            <w:tcW w:type="pct" w:w="3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Assign to governance team responsible for baseline enforcement.</w:t>
            </w:r>
          </w:p>
        </w:tc>
      </w:tr>
    </w:tbl>
    <w:p>
      <w:pPr>
        <w:spacing w:after="200" w:before="0"/>
      </w:pPr>
    </w:p>
    <w:p>
      <w:pPr>
        <w:pStyle w:val="Heading3"/>
        <w:spacing w:after="120" w:before="240" w:line="312" w:lineRule="auto"/>
      </w:pPr>
      <w:r>
        <w:rPr>
          <w:rFonts w:ascii="Calibri" w:cs="Calibri" w:eastAsia="Calibri" w:hAnsi="Calibri"/>
          <w:color w:val="1A1A1A"/>
          <w:sz w:val="28"/>
          <w:szCs w:val="28"/>
        </w:rPr>
        <w:t xml:space="preserve">5.3.3 Enrollment Methods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Method</w:t>
            </w:r>
          </w:p>
        </w:tc>
        <w:tc>
          <w:tcPr>
            <w:tcW w:type="pct" w:w="1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Scale</w:t>
            </w:r>
          </w:p>
        </w:tc>
        <w:tc>
          <w:tcPr>
            <w:tcW w:type="pct" w:w="3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Mechanism</w:t>
            </w:r>
          </w:p>
        </w:tc>
        <w:tc>
          <w:tcPr>
            <w:tcW w:type="pct" w:w="3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Best For</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Manual (Interactive)</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Single server</w:t>
            </w:r>
          </w:p>
        </w:tc>
        <w:tc>
          <w:tcPr>
            <w:tcW w:type="pct" w:w="38%"/>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azcmagent connect</w:t>
            </w:r>
            <w:r>
              <w:rPr>
                <w:rFonts w:ascii="Calibri" w:cs="Calibri" w:eastAsia="Calibri" w:hAnsi="Calibri"/>
                <w:b w:val="false"/>
                <w:bCs w:val="false"/>
                <w:i w:val="false"/>
                <w:iCs w:val="false"/>
                <w:strike w:val="false"/>
                <w:color w:val="000000"/>
                <w:sz w:val="20"/>
                <w:szCs w:val="20"/>
              </w:rPr>
              <w:t xml:space="preserve"> with interactive Azure authentication</w:t>
            </w:r>
          </w:p>
        </w:tc>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Proof of concept, lab environments, single-server onboarding</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Service Principal (Scripted)</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At-scale</w:t>
            </w:r>
          </w:p>
        </w:tc>
        <w:tc>
          <w:tcPr>
            <w:tcW w:type="pct" w:w="38%"/>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azcmagent connect</w:t>
            </w:r>
            <w:r>
              <w:rPr>
                <w:rFonts w:ascii="Calibri" w:cs="Calibri" w:eastAsia="Calibri" w:hAnsi="Calibri"/>
                <w:b w:val="false"/>
                <w:bCs w:val="false"/>
                <w:i w:val="false"/>
                <w:iCs w:val="false"/>
                <w:strike w:val="false"/>
                <w:color w:val="000000"/>
                <w:sz w:val="20"/>
                <w:szCs w:val="20"/>
              </w:rPr>
              <w:t xml:space="preserve"> with service principal credentials in automated script</w:t>
            </w:r>
          </w:p>
        </w:tc>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Production at-scale enrollment via deployment tools (Ansible, Puppet, SCCM)</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Group Policy Deployment</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Domain-joined servers</w:t>
            </w:r>
          </w:p>
        </w:tc>
        <w:tc>
          <w:tcPr>
            <w:tcW w:type="pct" w:w="3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GPO-deployed startup script that installs the Arc agent and runs </w:t>
            </w:r>
            <w:r>
              <w:rPr>
                <w:rFonts w:ascii="Courier New" w:cs="Courier New" w:eastAsia="Courier New" w:hAnsi="Courier New"/>
                <w:b w:val="false"/>
                <w:bCs w:val="false"/>
                <w:i w:val="false"/>
                <w:iCs w:val="false"/>
                <w:color w:val="000000"/>
                <w:sz w:val="18"/>
                <w:szCs w:val="18"/>
                <w:shd w:fill="F3F4F6" w:color="auto" w:val="clear"/>
              </w:rPr>
              <w:t xml:space="preserve">azcmagent connect</w:t>
            </w:r>
            <w:r>
              <w:rPr>
                <w:rFonts w:ascii="Calibri" w:cs="Calibri" w:eastAsia="Calibri" w:hAnsi="Calibri"/>
                <w:b w:val="false"/>
                <w:bCs w:val="false"/>
                <w:i w:val="false"/>
                <w:iCs w:val="false"/>
                <w:strike w:val="false"/>
                <w:color w:val="000000"/>
                <w:sz w:val="20"/>
                <w:szCs w:val="20"/>
              </w:rPr>
              <w:t xml:space="preserve"> with service principal</w:t>
            </w:r>
          </w:p>
        </w:tc>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Leveraging existing AD infrastructure for Arc enrollment during migration</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Configuration Manager Task Sequence</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SCCM-managed servers</w:t>
            </w:r>
          </w:p>
        </w:tc>
        <w:tc>
          <w:tcPr>
            <w:tcW w:type="pct" w:w="3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SCCM task sequence that installs the Arc agent and executes enrollment</w:t>
            </w:r>
          </w:p>
        </w:tc>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Organizations with existing SCCM infrastructure</w:t>
            </w:r>
          </w:p>
        </w:tc>
      </w:tr>
    </w:tbl>
    <w:p>
      <w:pPr>
        <w:spacing w:after="200" w:before="0"/>
      </w:pPr>
    </w:p>
    <w:p>
      <w:pPr>
        <w:pStyle w:val="Heading3"/>
        <w:spacing w:after="120" w:before="240" w:line="312" w:lineRule="auto"/>
      </w:pPr>
      <w:r>
        <w:rPr>
          <w:rFonts w:ascii="Calibri" w:cs="Calibri" w:eastAsia="Calibri" w:hAnsi="Calibri"/>
          <w:color w:val="1A1A1A"/>
          <w:sz w:val="28"/>
          <w:szCs w:val="28"/>
        </w:rPr>
        <w:t xml:space="preserve">5.3.4 Service Principal Governance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Dedicated service principals per enrollment scope (one per subscription or resource group, not shared across tiers)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Credential rotation SLA: Client secrets must be rotated every 90 days; prefer certificate-based credentials with 12-month rotation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Least-privilege role assignment: Service principals for enrollment must hold only the </w:t>
      </w:r>
      <w:r>
        <w:rPr>
          <w:rFonts w:ascii="Calibri" w:cs="Calibri" w:eastAsia="Calibri" w:hAnsi="Calibri"/>
          <w:b/>
          <w:bCs/>
          <w:i w:val="false"/>
          <w:iCs w:val="false"/>
          <w:strike w:val="false"/>
          <w:color w:val="000000"/>
          <w:sz w:val="22"/>
          <w:szCs w:val="22"/>
        </w:rPr>
        <w:t xml:space="preserve">Azure Connected Machine Onboarding</w:t>
      </w:r>
      <w:r>
        <w:rPr>
          <w:rFonts w:ascii="Calibri" w:cs="Calibri" w:eastAsia="Calibri" w:hAnsi="Calibri"/>
          <w:b w:val="false"/>
          <w:bCs w:val="false"/>
          <w:i w:val="false"/>
          <w:iCs w:val="false"/>
          <w:strike w:val="false"/>
          <w:color w:val="000000"/>
          <w:sz w:val="22"/>
          <w:szCs w:val="22"/>
        </w:rPr>
        <w:t xml:space="preserve"> role, never Contributor or Owner</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Audit: Service principal sign-in activity must be monitored; sign-ins from unexpected source IPs must trigger investigation</w:t>
      </w:r>
    </w:p>
    <w:p>
      <w:pPr>
        <w:pStyle w:val="Heading2"/>
        <w:spacing w:after="120" w:before="360" w:line="312" w:lineRule="auto"/>
      </w:pPr>
      <w:r>
        <w:rPr>
          <w:rFonts w:ascii="Calibri" w:cs="Calibri" w:eastAsia="Calibri" w:hAnsi="Calibri"/>
          <w:color w:val="1A1A1A"/>
          <w:sz w:val="36"/>
          <w:szCs w:val="36"/>
        </w:rPr>
        <w:t xml:space="preserve">5.4 Arc Policy Governance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Azure Policy and its extensions replace Group Policy for server configuration governance on Arc-enabled servers. The following table maps GPO server management functions to their Arc equivalents.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GPO Server Function</w:t>
            </w:r>
          </w:p>
        </w:tc>
        <w:tc>
          <w:tcPr>
            <w:tcW w:type="pct" w:w="1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Azure Arc Equivalent</w:t>
            </w:r>
          </w:p>
        </w:tc>
        <w:tc>
          <w:tcPr>
            <w:tcW w:type="pct" w:w="4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Governance Mechanism</w:t>
            </w:r>
          </w:p>
        </w:tc>
        <w:tc>
          <w:tcPr>
            <w:tcW w:type="pct" w:w="2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Deployment Surface</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Security baselines</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Azure Policy + Machine Configuration</w:t>
            </w:r>
          </w:p>
        </w:tc>
        <w:tc>
          <w:tcPr>
            <w:tcW w:type="pct" w:w="4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Built-in or custom policy definitions assigned at management group, subscription, or resource group level. Machine Configuration packages audit or enforce OS-level settings.</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Azure Policy &gt; Definitions &gt; Guest Configuration category</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Patch management</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Azure Update Manager</w:t>
            </w:r>
          </w:p>
        </w:tc>
        <w:tc>
          <w:tcPr>
            <w:tcW w:type="pct" w:w="4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Maintenance configurations define patching windows. Update assessments provide vulnerability visibility. Scheduled updates replace WSUS/SCCM patching.</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Azure Update Manager &gt; Machines &gt; Maintenance Configurations</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Antivirus / EDR</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Microsoft Defender for Servers (Plan 1 or Plan 2)</w:t>
            </w:r>
          </w:p>
        </w:tc>
        <w:tc>
          <w:tcPr>
            <w:tcW w:type="pct" w:w="4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Defender for Cloud auto-provisioning deploys the Defender for Endpoint sensor to Arc-enabled servers. Plan 2 adds vulnerability assessment, just-in-time access, and adaptive application controls.</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Defender for Cloud &gt; Environment Settings &gt; Defender Plans</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Log collection</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Azure Monitor Agent (AMA) + Data Collection Rules (DCR)</w:t>
            </w:r>
          </w:p>
        </w:tc>
        <w:tc>
          <w:tcPr>
            <w:tcW w:type="pct" w:w="4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DCR-based log routing to Log Analytics workspaces and/or Microsoft Sentinel. Replaces legacy MMA (Log Analytics agent) and GPO-based event log forwarding.</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Azure Monitor &gt; Data Collection Rules</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Configuration auditing</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Machine Configuration (formerly Guest Configuration)</w:t>
            </w:r>
          </w:p>
        </w:tc>
        <w:tc>
          <w:tcPr>
            <w:tcW w:type="pct" w:w="4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Audit mode: reports non-compliant settings without remediation. Enforce mode (ApplyAndMonitor, ApplyAndAutoCorrect): actively remediates drift. Custom configurations authored in PowerShell DSC.</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Azure Policy &gt; Machine Configuration assignments</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Certificate management</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Azure Key Vault + Arc Key Vault extension</w:t>
            </w:r>
          </w:p>
        </w:tc>
        <w:tc>
          <w:tcPr>
            <w:tcW w:type="pct" w:w="4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Certificates stored in Key Vault are automatically provisioned to Arc-enabled servers via the Key Vault extension. Certificate lifecycle (renewal, rotation, revocation) managed in Key Vault.</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Key Vault &gt; Certificates + Arc server &gt; Extensions</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5.5 Arc Enrollment Governance Rules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Rule ID</w:t>
            </w:r>
          </w:p>
        </w:tc>
        <w:tc>
          <w:tcPr>
            <w:tcW w:type="pct" w:w="37%"/>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Governance Rule</w:t>
            </w:r>
          </w:p>
        </w:tc>
        <w:tc>
          <w:tcPr>
            <w:tcW w:type="pct" w:w="36%"/>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Enforcement Mechanism</w:t>
            </w:r>
          </w:p>
        </w:tc>
        <w:tc>
          <w:tcPr>
            <w:tcW w:type="pct" w:w="1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Violation Severity</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ARC-001</w:t>
            </w:r>
          </w:p>
        </w:tc>
        <w:tc>
          <w:tcPr>
            <w:tcW w:type="pct" w:w="3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Every Arc-enrolled server MUST be placed in a resource group aligned to its tier and workload, following the resource hierarchy design in Section 5.2.</w:t>
            </w:r>
          </w:p>
        </w:tc>
        <w:tc>
          <w:tcPr>
            <w:tcW w:type="pct" w:w="3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Azure Policy: deny resource creation in non-compliant resource groups. Periodic audit of resource placement.</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High</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ARC-002</w:t>
            </w:r>
          </w:p>
        </w:tc>
        <w:tc>
          <w:tcPr>
            <w:tcW w:type="pct" w:w="3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Azure tags encoding OrgPath-equivalent metadata (Region, Site, Department, Tier, Environment, Role) MUST be applied to every Arc-enabled server resource.</w:t>
            </w:r>
          </w:p>
        </w:tc>
        <w:tc>
          <w:tcPr>
            <w:tcW w:type="pct" w:w="3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Azure Policy: require tags on </w:t>
            </w:r>
            <w:r>
              <w:rPr>
                <w:rFonts w:ascii="Courier New" w:cs="Courier New" w:eastAsia="Courier New" w:hAnsi="Courier New"/>
                <w:b w:val="false"/>
                <w:bCs w:val="false"/>
                <w:i w:val="false"/>
                <w:iCs w:val="false"/>
                <w:color w:val="000000"/>
                <w:sz w:val="18"/>
                <w:szCs w:val="18"/>
                <w:shd w:fill="F3F4F6" w:color="auto" w:val="clear"/>
              </w:rPr>
              <w:t xml:space="preserve">Microsoft.HybridCompute/machines</w:t>
            </w:r>
            <w:r>
              <w:rPr>
                <w:rFonts w:ascii="Calibri" w:cs="Calibri" w:eastAsia="Calibri" w:hAnsi="Calibri"/>
                <w:b w:val="false"/>
                <w:bCs w:val="false"/>
                <w:i w:val="false"/>
                <w:iCs w:val="false"/>
                <w:strike w:val="false"/>
                <w:color w:val="000000"/>
                <w:sz w:val="20"/>
                <w:szCs w:val="20"/>
              </w:rPr>
              <w:t xml:space="preserve"> resource type. Non-compliant resources flagged in Azure Policy compliance dashboard.</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High</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ARC-003</w:t>
            </w:r>
          </w:p>
        </w:tc>
        <w:tc>
          <w:tcPr>
            <w:tcW w:type="pct" w:w="3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Arc-enabled servers that have not reported a heartbeat within the defined SLA threshold MUST be flagged and investigated.</w:t>
            </w:r>
          </w:p>
        </w:tc>
        <w:tc>
          <w:tcPr>
            <w:tcW w:type="pct" w:w="3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Azure Monitor alert on heartbeat gap exceeding threshold (Tier 0: 15 minutes, Tier 1: 1 hour, Tier 2: 24 hours).</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Critical (Tier 0), High (Tier 1), Medium (Tier 2)</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ARC-004</w:t>
            </w:r>
          </w:p>
        </w:tc>
        <w:tc>
          <w:tcPr>
            <w:tcW w:type="pct" w:w="3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Arc resource deletion MUST follow the change-control process. Disconnected agents must be cleaned up within 30 days of disconnection.</w:t>
            </w:r>
          </w:p>
        </w:tc>
        <w:tc>
          <w:tcPr>
            <w:tcW w:type="pct" w:w="3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RBAC restrictions on delete operations. Automated orphan detection script with 30-day cleanup SLA.</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Medium</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ARC-005</w:t>
            </w:r>
          </w:p>
        </w:tc>
        <w:tc>
          <w:tcPr>
            <w:tcW w:type="pct" w:w="3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Azure Policy compliance state is the primary drift signal. Non-compliant Arc resources MUST be remediated within defined SLAs.</w:t>
            </w:r>
          </w:p>
        </w:tc>
        <w:tc>
          <w:tcPr>
            <w:tcW w:type="pct" w:w="3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Azure Policy compliance dashboard. Automated remediation tasks where applicable. Governance report escalation for persistent non-compliance.</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Per DFT-001 SLAs by tier</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ARC-006</w:t>
            </w:r>
          </w:p>
        </w:tc>
        <w:tc>
          <w:tcPr>
            <w:tcW w:type="pct" w:w="3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Service principals used for Arc enrollment MUST have credentials rotated per the defined rotation schedule and hold only minimum-required RBAC roles.</w:t>
            </w:r>
          </w:p>
        </w:tc>
        <w:tc>
          <w:tcPr>
            <w:tcW w:type="pct" w:w="3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Key Vault expiration alerts for service principal credentials. Periodic access review of service principal role assignments.</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High</w:t>
            </w:r>
          </w:p>
        </w:tc>
      </w:tr>
    </w:tbl>
    <w:p>
      <w:pPr>
        <w:spacing w:after="200" w:before="0"/>
      </w:pPr>
    </w:p>
    <w:p>
      <w:pPr>
        <w:pStyle w:val="Heading1"/>
        <w:spacing w:after="120" w:before="480" w:line="312" w:lineRule="auto"/>
      </w:pPr>
      <w:r>
        <w:rPr>
          <w:rFonts w:ascii="Calibri" w:cs="Calibri" w:eastAsia="Calibri" w:hAnsi="Calibri"/>
          <w:color w:val="1A1A1A"/>
          <w:sz w:val="48"/>
          <w:szCs w:val="48"/>
        </w:rPr>
        <w:t xml:space="preserve">6. Governance Integration and Cross-Platform Reconciliation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preceding sections define governance models for three distinct surfaces: Entra ID (identity and organizational metadata), Intune (endpoint configuration and compliance), and Azure Arc (hybrid and multi-cloud server management). Each surface operates with its own drift-detection mechanisms, policy-enforcement models, and compliance-reporting capabilities. This section addresses the integration layer that ties all three surfaces into a unified governance framework.</w:t>
      </w:r>
    </w:p>
    <w:p>
      <w:pPr>
        <w:pStyle w:val="Heading2"/>
        <w:spacing w:after="120" w:before="360" w:line="312" w:lineRule="auto"/>
      </w:pPr>
      <w:r>
        <w:rPr>
          <w:rFonts w:ascii="Calibri" w:cs="Calibri" w:eastAsia="Calibri" w:hAnsi="Calibri"/>
          <w:color w:val="1A1A1A"/>
          <w:sz w:val="36"/>
          <w:szCs w:val="36"/>
        </w:rPr>
        <w:t xml:space="preserve">6.1 Unified OrgPath Pattern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OrgPath pattern, defined in Section 2, provides the unifying organizational taxonomy across all three governance surfaces: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Governance Surface</w:t>
            </w:r>
          </w:p>
        </w:tc>
        <w:tc>
          <w:tcPr>
            <w:tcW w:type="pct" w:w="3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OrgPath Mechanism</w:t>
            </w:r>
          </w:p>
        </w:tc>
        <w:tc>
          <w:tcPr>
            <w:tcW w:type="pct" w:w="5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Policy Targeting</w:t>
            </w:r>
          </w:p>
        </w:tc>
      </w:tr>
      <w:tr>
        <w:trPr>
          <w:tblHeader w:val="false"/>
        </w:trPr>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Entra ID</w:t>
            </w:r>
          </w:p>
        </w:tc>
        <w:tc>
          <w:tcPr>
            <w:tcW w:type="pct" w:w="3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Device extension attributes (</w:t>
            </w:r>
            <w:r>
              <w:rPr>
                <w:rFonts w:ascii="Courier New" w:cs="Courier New" w:eastAsia="Courier New" w:hAnsi="Courier New"/>
                <w:b w:val="false"/>
                <w:bCs w:val="false"/>
                <w:i w:val="false"/>
                <w:iCs w:val="false"/>
                <w:color w:val="000000"/>
                <w:sz w:val="18"/>
                <w:szCs w:val="18"/>
                <w:shd w:fill="F3F4F6" w:color="auto" w:val="clear"/>
              </w:rPr>
              <w:t xml:space="preserve">extensionAttribute1</w:t>
            </w:r>
            <w:r>
              <w:rPr>
                <w:rFonts w:ascii="Calibri" w:cs="Calibri" w:eastAsia="Calibri" w:hAnsi="Calibri"/>
                <w:b w:val="false"/>
                <w:bCs w:val="false"/>
                <w:i w:val="false"/>
                <w:iCs w:val="false"/>
                <w:strike w:val="false"/>
                <w:color w:val="000000"/>
                <w:sz w:val="20"/>
                <w:szCs w:val="20"/>
              </w:rPr>
              <w:t xml:space="preserve">–</w:t>
            </w:r>
            <w:r>
              <w:rPr>
                <w:rFonts w:ascii="Courier New" w:cs="Courier New" w:eastAsia="Courier New" w:hAnsi="Courier New"/>
                <w:b w:val="false"/>
                <w:bCs w:val="false"/>
                <w:i w:val="false"/>
                <w:iCs w:val="false"/>
                <w:color w:val="000000"/>
                <w:sz w:val="18"/>
                <w:szCs w:val="18"/>
                <w:shd w:fill="F3F4F6" w:color="auto" w:val="clear"/>
              </w:rPr>
              <w:t xml:space="preserve">6</w:t>
            </w:r>
            <w:r>
              <w:rPr>
                <w:rFonts w:ascii="Calibri" w:cs="Calibri" w:eastAsia="Calibri" w:hAnsi="Calibri"/>
                <w:b w:val="false"/>
                <w:bCs w:val="false"/>
                <w:i w:val="false"/>
                <w:iCs w:val="false"/>
                <w:strike w:val="false"/>
                <w:color w:val="000000"/>
                <w:sz w:val="20"/>
                <w:szCs w:val="20"/>
              </w:rPr>
              <w:t xml:space="preserve">)</w:t>
            </w:r>
          </w:p>
        </w:tc>
        <w:tc>
          <w:tcPr>
            <w:tcW w:type="pct" w:w="5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Dynamic security groups, Conditional Access policies, Administrative Units</w:t>
            </w:r>
          </w:p>
        </w:tc>
      </w:tr>
      <w:tr>
        <w:trPr>
          <w:tblHeader w:val="false"/>
        </w:trPr>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Intune</w:t>
            </w:r>
          </w:p>
        </w:tc>
        <w:tc>
          <w:tcPr>
            <w:tcW w:type="pct" w:w="3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Dynamic group membership derived from extension attributes</w:t>
            </w:r>
          </w:p>
        </w:tc>
        <w:tc>
          <w:tcPr>
            <w:tcW w:type="pct" w:w="5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Configuration profiles, compliance policies, security baselines, app assignments</w:t>
            </w:r>
          </w:p>
        </w:tc>
      </w:tr>
      <w:tr>
        <w:trPr>
          <w:tblHeader w:val="false"/>
        </w:trPr>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Azure Arc</w:t>
            </w:r>
          </w:p>
        </w:tc>
        <w:tc>
          <w:tcPr>
            <w:tcW w:type="pct" w:w="3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Azure resource tags (</w:t>
            </w:r>
            <w:r>
              <w:rPr>
                <w:rFonts w:ascii="Courier New" w:cs="Courier New" w:eastAsia="Courier New" w:hAnsi="Courier New"/>
                <w:b w:val="false"/>
                <w:bCs w:val="false"/>
                <w:i w:val="false"/>
                <w:iCs w:val="false"/>
                <w:color w:val="000000"/>
                <w:sz w:val="18"/>
                <w:szCs w:val="18"/>
                <w:shd w:fill="F3F4F6" w:color="auto" w:val="clear"/>
              </w:rPr>
              <w:t xml:space="preserve">OrgPath-Region</w:t>
            </w:r>
            <w:r>
              <w:rPr>
                <w:rFonts w:ascii="Calibri" w:cs="Calibri" w:eastAsia="Calibri" w:hAnsi="Calibri"/>
                <w:b w:val="false"/>
                <w:bCs w:val="false"/>
                <w:i w:val="false"/>
                <w:iCs w:val="false"/>
                <w:strike w:val="false"/>
                <w:color w:val="000000"/>
                <w:sz w:val="20"/>
                <w:szCs w:val="20"/>
              </w:rPr>
              <w:t xml:space="preserve">, </w:t>
            </w:r>
            <w:r>
              <w:rPr>
                <w:rFonts w:ascii="Courier New" w:cs="Courier New" w:eastAsia="Courier New" w:hAnsi="Courier New"/>
                <w:b w:val="false"/>
                <w:bCs w:val="false"/>
                <w:i w:val="false"/>
                <w:iCs w:val="false"/>
                <w:color w:val="000000"/>
                <w:sz w:val="18"/>
                <w:szCs w:val="18"/>
                <w:shd w:fill="F3F4F6" w:color="auto" w:val="clear"/>
              </w:rPr>
              <w:t xml:space="preserve">OrgPath-Site</w:t>
            </w:r>
            <w:r>
              <w:rPr>
                <w:rFonts w:ascii="Calibri" w:cs="Calibri" w:eastAsia="Calibri" w:hAnsi="Calibri"/>
                <w:b w:val="false"/>
                <w:bCs w:val="false"/>
                <w:i w:val="false"/>
                <w:iCs w:val="false"/>
                <w:strike w:val="false"/>
                <w:color w:val="000000"/>
                <w:sz w:val="20"/>
                <w:szCs w:val="20"/>
              </w:rPr>
              <w:t xml:space="preserve">, etc.)</w:t>
            </w:r>
          </w:p>
        </w:tc>
        <w:tc>
          <w:tcPr>
            <w:tcW w:type="pct" w:w="5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Azure Policy assignments (management group, subscription, resource group scopes), Machine Configuration</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6.2 Cross-Platform Drift Reconciliation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Drift detection operates independently on each surface but must be reconciled centrally. A device that reports as compliant on one surface but non-compliant on another represents a governance gap that requires investigation. The following matrix identifies the governance signals produced by each surface and their reconciliation requirements.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7%"/>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Governance Signal</w:t>
            </w:r>
          </w:p>
        </w:tc>
        <w:tc>
          <w:tcPr>
            <w:tcW w:type="pct" w:w="2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Source Surface</w:t>
            </w:r>
          </w:p>
        </w:tc>
        <w:tc>
          <w:tcPr>
            <w:tcW w:type="pct" w:w="1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Signal Type</w:t>
            </w:r>
          </w:p>
        </w:tc>
        <w:tc>
          <w:tcPr>
            <w:tcW w:type="pct" w:w="4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Reconciliation Requirement</w:t>
            </w:r>
          </w:p>
        </w:tc>
      </w:tr>
      <w:tr>
        <w:trPr>
          <w:tblHeader w:val="false"/>
        </w:trPr>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Intune compliance status</w:t>
            </w:r>
          </w:p>
        </w:tc>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Intune</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Boolean (Compliant / Not Compliant / Not Evaluated)</w:t>
            </w:r>
          </w:p>
        </w:tc>
        <w:tc>
          <w:tcPr>
            <w:tcW w:type="pct" w:w="4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Must align with Entra ID </w:t>
            </w:r>
            <w:r>
              <w:rPr>
                <w:rFonts w:ascii="Courier New" w:cs="Courier New" w:eastAsia="Courier New" w:hAnsi="Courier New"/>
                <w:b w:val="false"/>
                <w:bCs w:val="false"/>
                <w:i w:val="false"/>
                <w:iCs w:val="false"/>
                <w:color w:val="000000"/>
                <w:sz w:val="18"/>
                <w:szCs w:val="18"/>
                <w:shd w:fill="F3F4F6" w:color="auto" w:val="clear"/>
              </w:rPr>
              <w:t xml:space="preserve">isCompliant</w:t>
            </w:r>
            <w:r>
              <w:rPr>
                <w:rFonts w:ascii="Calibri" w:cs="Calibri" w:eastAsia="Calibri" w:hAnsi="Calibri"/>
                <w:b w:val="false"/>
                <w:bCs w:val="false"/>
                <w:i w:val="false"/>
                <w:iCs w:val="false"/>
                <w:strike w:val="false"/>
                <w:color w:val="000000"/>
                <w:sz w:val="20"/>
                <w:szCs w:val="20"/>
              </w:rPr>
              <w:t xml:space="preserve"> property. Discrepancy indicates sync delay or enrollment issue.</w:t>
            </w:r>
          </w:p>
        </w:tc>
      </w:tr>
      <w:tr>
        <w:trPr>
          <w:tblHeader w:val="false"/>
        </w:trPr>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Azure Policy compliance</w:t>
            </w:r>
          </w:p>
        </w:tc>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Azure Arc</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Per-policy (Compliant / Non-Compliant / Exempt)</w:t>
            </w:r>
          </w:p>
        </w:tc>
        <w:tc>
          <w:tcPr>
            <w:tcW w:type="pct" w:w="4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Aggregated compliance state must be consistent with organizational compliance dashboard. Non-compliance on security-critical policies escalated independently of Intune status.</w:t>
            </w:r>
          </w:p>
        </w:tc>
      </w:tr>
      <w:tr>
        <w:trPr>
          <w:tblHeader w:val="false"/>
        </w:trPr>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OrgPath attribute completeness</w:t>
            </w:r>
          </w:p>
        </w:tc>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Entra ID / Azure Resource Manager</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All dimensions populated (Yes / No)</w:t>
            </w:r>
          </w:p>
        </w:tc>
        <w:tc>
          <w:tcPr>
            <w:tcW w:type="pct" w:w="4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Devices with missing OrgPath values on any surface are excluded from dynamic group membership, creating policy coverage gaps.</w:t>
            </w:r>
          </w:p>
        </w:tc>
      </w:tr>
      <w:tr>
        <w:trPr>
          <w:tblHeader w:val="false"/>
        </w:trPr>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OrgPath attribute consistency (dual-identity)</w:t>
            </w:r>
          </w:p>
        </w:tc>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Entra ID + Azure Resource Manager</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Extension attributes match Azure tags (Yes / No)</w:t>
            </w:r>
          </w:p>
        </w:tc>
        <w:tc>
          <w:tcPr>
            <w:tcW w:type="pct" w:w="4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Dual-identity servers must have identical OrgPath values in extension attributes and Azure tags. Quarterly reconciliation required (Rule ORG-004).</w:t>
            </w:r>
          </w:p>
        </w:tc>
      </w:tr>
      <w:tr>
        <w:trPr>
          <w:tblHeader w:val="false"/>
        </w:trPr>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Staleness / heartbeat</w:t>
            </w:r>
          </w:p>
        </w:tc>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Entra ID (</w:t>
            </w:r>
            <w:r>
              <w:rPr>
                <w:rFonts w:ascii="Courier New" w:cs="Courier New" w:eastAsia="Courier New" w:hAnsi="Courier New"/>
                <w:b w:val="false"/>
                <w:bCs w:val="false"/>
                <w:i w:val="false"/>
                <w:iCs w:val="false"/>
                <w:color w:val="000000"/>
                <w:sz w:val="18"/>
                <w:szCs w:val="18"/>
                <w:shd w:fill="F3F4F6" w:color="auto" w:val="clear"/>
              </w:rPr>
              <w:t xml:space="preserve">approximateLastSignInDateTime</w:t>
            </w:r>
            <w:r>
              <w:rPr>
                <w:rFonts w:ascii="Calibri" w:cs="Calibri" w:eastAsia="Calibri" w:hAnsi="Calibri"/>
                <w:b w:val="false"/>
                <w:bCs w:val="false"/>
                <w:i w:val="false"/>
                <w:iCs w:val="false"/>
                <w:strike w:val="false"/>
                <w:color w:val="000000"/>
                <w:sz w:val="20"/>
                <w:szCs w:val="20"/>
              </w:rPr>
              <w:t xml:space="preserve">) + Azure Arc (heartbeat)</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Last activity within SLA threshold (Yes / No)</w:t>
            </w:r>
          </w:p>
        </w:tc>
        <w:tc>
          <w:tcPr>
            <w:tcW w:type="pct" w:w="4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 device stale in Entra ID but active in Arc (or vice versa) indicates a partial identity failure. Both signals must be correlated.</w:t>
            </w:r>
          </w:p>
        </w:tc>
      </w:tr>
      <w:tr>
        <w:trPr>
          <w:tblHeader w:val="false"/>
        </w:trPr>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Defender for Endpoint / Defender for Cloud</w:t>
            </w:r>
          </w:p>
        </w:tc>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Microsoft Defender</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Security alerts, vulnerability findings, secure score</w:t>
            </w:r>
          </w:p>
        </w:tc>
        <w:tc>
          <w:tcPr>
            <w:tcW w:type="pct" w:w="4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Security signals must be correlated across Intune-managed endpoints and Arc-managed servers. Unified view in Defender portal.</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6.3 Canonical Ownership Model</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Every device and server in the governance framework must have a defined governance owner accountable for drift remediation within SLA. The ownership model is layered: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Ownership Layer</w:t>
            </w:r>
          </w:p>
        </w:tc>
        <w:tc>
          <w:tcPr>
            <w:tcW w:type="pct" w:w="3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Role</w:t>
            </w:r>
          </w:p>
        </w:tc>
        <w:tc>
          <w:tcPr>
            <w:tcW w:type="pct" w:w="57%"/>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Accountability</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Device Owner</w:t>
            </w:r>
          </w:p>
        </w:tc>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Registered owner in Entra ID / Resource owner in Azure tags</w:t>
            </w:r>
          </w:p>
        </w:tc>
        <w:tc>
          <w:tcPr>
            <w:tcW w:type="pct" w:w="5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Responsible for device-level compliance, OrgPath accuracy, and timely response to non-compliance notifications.</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Workload Owner</w:t>
            </w:r>
          </w:p>
        </w:tc>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Application or service owner (mapped from </w:t>
            </w:r>
            <w:r>
              <w:rPr>
                <w:rFonts w:ascii="Courier New" w:cs="Courier New" w:eastAsia="Courier New" w:hAnsi="Courier New"/>
                <w:b w:val="false"/>
                <w:bCs w:val="false"/>
                <w:i w:val="false"/>
                <w:iCs w:val="false"/>
                <w:color w:val="000000"/>
                <w:sz w:val="18"/>
                <w:szCs w:val="18"/>
                <w:shd w:fill="F3F4F6" w:color="auto" w:val="clear"/>
              </w:rPr>
              <w:t xml:space="preserve">extensionAttribute3</w:t>
            </w:r>
            <w:r>
              <w:rPr>
                <w:rFonts w:ascii="Calibri" w:cs="Calibri" w:eastAsia="Calibri" w:hAnsi="Calibri"/>
                <w:b w:val="false"/>
                <w:bCs w:val="false"/>
                <w:i w:val="false"/>
                <w:iCs w:val="false"/>
                <w:strike w:val="false"/>
                <w:color w:val="000000"/>
                <w:sz w:val="20"/>
                <w:szCs w:val="20"/>
              </w:rPr>
              <w:t xml:space="preserve"> Department value)</w:t>
            </w:r>
          </w:p>
        </w:tc>
        <w:tc>
          <w:tcPr>
            <w:tcW w:type="pct" w:w="5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Responsible for ensuring all devices in the workload scope are enrolled, compliant, and correctly classified.</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Platform Owner</w:t>
            </w:r>
          </w:p>
        </w:tc>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Identity and platform engineering team</w:t>
            </w:r>
          </w:p>
        </w:tc>
        <w:tc>
          <w:tcPr>
            <w:tcW w:type="pct" w:w="5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Responsible for governance framework integrity: OrgPath registry maintenance, dynamic group rule accuracy, policy definition correctness, and cross-platform reconciliation.</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Governance Board</w:t>
            </w:r>
          </w:p>
        </w:tc>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Cross-functional governance body</w:t>
            </w:r>
          </w:p>
        </w:tc>
        <w:tc>
          <w:tcPr>
            <w:tcW w:type="pct" w:w="5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Responsible for governance rule review, exception management, and escalation resolution.</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6.4 Device Governance Surface Matrix</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summary matrix identifies which governance surfaces apply to each device type and which OrgPath mechanism is used.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1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Device Type</w:t>
            </w:r>
          </w:p>
        </w:tc>
        <w:tc>
          <w:tcPr>
            <w:tcW w:type="pct" w:w="1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Entra ID</w:t>
            </w:r>
          </w:p>
        </w:tc>
        <w:tc>
          <w:tcPr>
            <w:tcW w:type="pct" w:w="2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Intune</w:t>
            </w:r>
          </w:p>
        </w:tc>
        <w:tc>
          <w:tcPr>
            <w:tcW w:type="pct" w:w="1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Azure Arc</w:t>
            </w:r>
          </w:p>
        </w:tc>
        <w:tc>
          <w:tcPr>
            <w:tcW w:type="pct" w:w="1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Azure Policy</w:t>
            </w:r>
          </w:p>
        </w:tc>
        <w:tc>
          <w:tcPr>
            <w:tcW w:type="pct" w:w="1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OrgPath Mechanism</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Cloud-native workstation</w:t>
            </w:r>
            <w:r>
              <w:rPr>
                <w:rFonts w:ascii="Calibri" w:cs="Calibri" w:eastAsia="Calibri" w:hAnsi="Calibri"/>
                <w:b w:val="false"/>
                <w:bCs w:val="false"/>
                <w:i w:val="false"/>
                <w:iCs w:val="false"/>
                <w:strike w:val="false"/>
                <w:color w:val="000000"/>
                <w:sz w:val="20"/>
                <w:szCs w:val="20"/>
              </w:rPr>
              <w:t xml:space="preserve"> (Entra Joined)</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Yes — Primary identity</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Yes — Primary management</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No</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No (Intune policies apply)</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Extension attributes only</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Hybrid-joined workstation</w:t>
            </w:r>
            <w:r>
              <w:rPr>
                <w:rFonts w:ascii="Calibri" w:cs="Calibri" w:eastAsia="Calibri" w:hAnsi="Calibri"/>
                <w:b w:val="false"/>
                <w:bCs w:val="false"/>
                <w:i w:val="false"/>
                <w:iCs w:val="false"/>
                <w:strike w:val="false"/>
                <w:color w:val="000000"/>
                <w:sz w:val="20"/>
                <w:szCs w:val="20"/>
              </w:rPr>
              <w:t xml:space="preserve"> (Hybrid Entra Joined)</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Yes — Dual identity (AD + Entra)</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Yes — Co-management with SCCM or full Intune</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No</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No (Intune policies apply)</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Extension attributes (synced from AD via Entra Connect)</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On-premises server</w:t>
            </w:r>
            <w:r>
              <w:rPr>
                <w:rFonts w:ascii="Calibri" w:cs="Calibri" w:eastAsia="Calibri" w:hAnsi="Calibri"/>
                <w:b w:val="false"/>
                <w:bCs w:val="false"/>
                <w:i w:val="false"/>
                <w:iCs w:val="false"/>
                <w:strike w:val="false"/>
                <w:color w:val="000000"/>
                <w:sz w:val="20"/>
                <w:szCs w:val="20"/>
              </w:rPr>
              <w:t xml:space="preserve"> (Hybrid Entra Joined + Arc)</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Yes — Dual identity</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No (servers use Arc, not Intune)</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Yes — Primary management</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Yes — Via Arc policy assignments</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Extension attributes + Azure tags (reconciled)</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On-premises server</w:t>
            </w:r>
            <w:r>
              <w:rPr>
                <w:rFonts w:ascii="Calibri" w:cs="Calibri" w:eastAsia="Calibri" w:hAnsi="Calibri"/>
                <w:b w:val="false"/>
                <w:bCs w:val="false"/>
                <w:i w:val="false"/>
                <w:iCs w:val="false"/>
                <w:strike w:val="false"/>
                <w:color w:val="000000"/>
                <w:sz w:val="20"/>
                <w:szCs w:val="20"/>
              </w:rPr>
              <w:t xml:space="preserve"> (Arc only, no Entra Join)</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No</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No</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Yes — Sole management</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Yes — Via Arc policy assignments</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Azure tags only</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Non-Azure cloud server</w:t>
            </w:r>
            <w:r>
              <w:rPr>
                <w:rFonts w:ascii="Calibri" w:cs="Calibri" w:eastAsia="Calibri" w:hAnsi="Calibri"/>
                <w:b w:val="false"/>
                <w:bCs w:val="false"/>
                <w:i w:val="false"/>
                <w:iCs w:val="false"/>
                <w:strike w:val="false"/>
                <w:color w:val="000000"/>
                <w:sz w:val="20"/>
                <w:szCs w:val="20"/>
              </w:rPr>
              <w:t xml:space="preserve"> (AWS/GCP + Arc)</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No</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No</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Yes — Sole management</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Yes — Via Arc policy assignments</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Azure tags only</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BYOD / personal device</w:t>
            </w:r>
            <w:r>
              <w:rPr>
                <w:rFonts w:ascii="Calibri" w:cs="Calibri" w:eastAsia="Calibri" w:hAnsi="Calibri"/>
                <w:b w:val="false"/>
                <w:bCs w:val="false"/>
                <w:i w:val="false"/>
                <w:iCs w:val="false"/>
                <w:strike w:val="false"/>
                <w:color w:val="000000"/>
                <w:sz w:val="20"/>
                <w:szCs w:val="20"/>
              </w:rPr>
              <w:t xml:space="preserve"> (Entra Registered)</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Yes — Workplace registration</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Limited — App protection policies (MAM without enrollment)</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No</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No</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Device category only (limited OrgPath)</w:t>
            </w:r>
          </w:p>
        </w:tc>
      </w:tr>
    </w:tbl>
    <w:p>
      <w:pPr>
        <w:spacing w:after="200" w:before="0"/>
      </w:pPr>
    </w:p>
    <w:p>
      <w:pPr>
        <w:pStyle w:val="Heading1"/>
        <w:spacing w:after="120" w:before="480" w:line="312" w:lineRule="auto"/>
      </w:pPr>
      <w:r>
        <w:rPr>
          <w:rFonts w:ascii="Calibri" w:cs="Calibri" w:eastAsia="Calibri" w:hAnsi="Calibri"/>
          <w:color w:val="1A1A1A"/>
          <w:sz w:val="48"/>
          <w:szCs w:val="48"/>
        </w:rPr>
        <w:t xml:space="preserve">Appendix A: OrgPath Attribute Registry Template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template defines the canonical structure for the OrgPath Attribute Registry. This registry must be maintained as the authoritative source for all OrgPath dimension values. Each entry requires governance board approval before addition or modification.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1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Dimension Name</w:t>
            </w:r>
          </w:p>
        </w:tc>
        <w:tc>
          <w:tcPr>
            <w:tcW w:type="pct" w:w="1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Extension Attribute</w:t>
            </w:r>
          </w:p>
        </w:tc>
        <w:tc>
          <w:tcPr>
            <w:tcW w:type="pct" w:w="1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Allowed Value</w:t>
            </w:r>
          </w:p>
        </w:tc>
        <w:tc>
          <w:tcPr>
            <w:tcW w:type="pct" w:w="3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Value Description</w:t>
            </w:r>
          </w:p>
        </w:tc>
        <w:tc>
          <w:tcPr>
            <w:tcW w:type="pct" w:w="1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Owner</w:t>
            </w:r>
          </w:p>
        </w:tc>
        <w:tc>
          <w:tcPr>
            <w:tcW w:type="pct" w:w="1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Last Reviewed</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Region</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extensionAttribute1</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US-East</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United States, Eastern seaboard operations</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Platform Engineering</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2026-01-15</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Region</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extensionAttribute1</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US-West</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United States, Western operations</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Platform Engineering</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2026-01-15</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Region</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extensionAttribute1</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EU-West</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European Union, Western Europe operations</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Platform Engineering</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2026-01-15</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Region</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extensionAttribute1</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EU-North</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European Union, Northern Europe operations</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Platform Engineering</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2026-01-15</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Region</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extensionAttribute1</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APAC-South</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Asia-Pacific, Southern region operations</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Platform Engineering</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2026-01-15</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Region</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extensionAttribute1</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APAC-East</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Asia-Pacific, Eastern region operations</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Platform Engineering</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2026-01-15</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Site</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extensionAttribute2</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NYC-HQ</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New York City headquarters campus</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Facilities / IT-Infra</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2026-01-15</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Site</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extensionAttribute2</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LAX-DC1</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Los Angeles data center 1</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Facilities / IT-Infra</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2026-01-15</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DeviceTier</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extensionAttribute4</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Tier0</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Identity infrastructure — domain controllers, PKI, federation servers</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Security / Identity Engineering</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2026-01-15</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DeviceTier</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extensionAttribute4</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Tier1</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Application servers and shared infrastructure</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Security / Identity Engineering</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2026-01-15</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DeviceTier</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extensionAttribute4</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Tier2</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User workstations and endpoints</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Security / Identity Engineering</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2026-01-15</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Environment</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extensionAttribute5</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Production</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Production workloads serving business operations</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Platform Engineering</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2026-01-15</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Environment</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extensionAttribute5</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Staging</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Pre-production validation environment</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Platform Engineering</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2026-01-15</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Environment</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extensionAttribute5</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Development</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Development and engineering environment</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Platform Engineering</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2026-01-15</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Environment</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extensionAttribute5</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Test</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Quality assurance and testing environment</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Platform Engineering</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2026-01-15</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Environment</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extensionAttribute5</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DR</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Disaster recovery environment</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Platform Engineering</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2026-01-15</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DeviceRole</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extensionAttribute6</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Workstation</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User endpoint workstation (desktop or laptop)</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Endpoint Engineering</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2026-01-15</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DeviceRole</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extensionAttribute6</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Server</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Server workload (physical or virtual)</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Platform Engineering</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2026-01-15</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DeviceRole</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extensionAttribute6</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Kiosk</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Shared-use kiosk or public terminal</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Endpoint Engineering</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2026-01-15</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DeviceRole</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extensionAttribute6</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ConferenceRoom</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Conference room display or Teams Room device</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Endpoint Engineering</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2026-01-15</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DeviceRole</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extensionAttribute6</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JumpBox</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Privileged access workstation or jump server</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Security / Identity Engineering</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2026-01-15</w:t>
            </w:r>
          </w:p>
        </w:tc>
      </w:tr>
    </w:tbl>
    <w:p>
      <w:pPr>
        <w:spacing w:after="200" w:before="0"/>
      </w:pPr>
    </w:p>
    <w:p>
      <w:pPr>
        <w:pStyle w:val="Heading1"/>
        <w:spacing w:after="120" w:before="480" w:line="312" w:lineRule="auto"/>
      </w:pPr>
      <w:r>
        <w:rPr>
          <w:rFonts w:ascii="Calibri" w:cs="Calibri" w:eastAsia="Calibri" w:hAnsi="Calibri"/>
          <w:color w:val="1A1A1A"/>
          <w:sz w:val="48"/>
          <w:szCs w:val="48"/>
        </w:rPr>
        <w:t xml:space="preserve">Appendix B: Dynamic Group Naming Convention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All dynamic security groups used for device policy targeting must follow the canonical naming convention defined below. This convention ensures consistency, discoverability, and auditability across the governance framework.</w:t>
      </w:r>
    </w:p>
    <w:p>
      <w:pPr>
        <w:pStyle w:val="Heading3"/>
        <w:spacing w:after="120" w:before="240" w:line="312" w:lineRule="auto"/>
      </w:pPr>
      <w:r>
        <w:rPr>
          <w:rFonts w:ascii="Calibri" w:cs="Calibri" w:eastAsia="Calibri" w:hAnsi="Calibri"/>
          <w:color w:val="1A1A1A"/>
          <w:sz w:val="28"/>
          <w:szCs w:val="28"/>
        </w:rPr>
        <w:t xml:space="preserve">Pattern</w:t>
      </w:r>
    </w:p>
    <w:p>
      <w:pPr>
        <w:spacing w:after="120" w:before="60" w:line="360" w:lineRule="auto"/>
      </w:pPr>
      <w:r>
        <w:rPr>
          <w:rFonts w:ascii="Courier New" w:cs="Courier New" w:eastAsia="Courier New" w:hAnsi="Courier New"/>
          <w:b w:val="false"/>
          <w:bCs w:val="false"/>
          <w:i w:val="false"/>
          <w:iCs w:val="false"/>
          <w:color w:val="000000"/>
          <w:sz w:val="20"/>
          <w:szCs w:val="20"/>
          <w:shd w:fill="F3F4F6" w:color="auto" w:val="clear"/>
        </w:rPr>
        <w:t xml:space="preserve">DG-{Scope}-{DimensionValues}-{DeviceRole}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Where: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DG</w:t>
      </w:r>
      <w:r>
        <w:rPr>
          <w:rFonts w:ascii="Calibri" w:cs="Calibri" w:eastAsia="Calibri" w:hAnsi="Calibri"/>
          <w:b w:val="false"/>
          <w:bCs w:val="false"/>
          <w:i w:val="false"/>
          <w:iCs w:val="false"/>
          <w:strike w:val="false"/>
          <w:color w:val="000000"/>
          <w:sz w:val="22"/>
          <w:szCs w:val="22"/>
        </w:rPr>
        <w:t xml:space="preserve"> — Fixed prefix identifying the group as a Dynamic Group for device policy targeting</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{Scope}</w:t>
      </w:r>
      <w:r>
        <w:rPr>
          <w:rFonts w:ascii="Calibri" w:cs="Calibri" w:eastAsia="Calibri" w:hAnsi="Calibri"/>
          <w:b w:val="false"/>
          <w:bCs w:val="false"/>
          <w:i w:val="false"/>
          <w:iCs w:val="false"/>
          <w:strike w:val="false"/>
          <w:color w:val="000000"/>
          <w:sz w:val="22"/>
          <w:szCs w:val="22"/>
        </w:rPr>
        <w:t xml:space="preserve"> — The primary OrgPath dimension(s) used in the rule, abbreviated. Use dimension abbreviations: </w:t>
      </w:r>
      <w:r>
        <w:rPr>
          <w:rFonts w:ascii="Courier New" w:cs="Courier New" w:eastAsia="Courier New" w:hAnsi="Courier New"/>
          <w:b w:val="false"/>
          <w:bCs w:val="false"/>
          <w:i w:val="false"/>
          <w:iCs w:val="false"/>
          <w:color w:val="000000"/>
          <w:sz w:val="20"/>
          <w:szCs w:val="20"/>
          <w:shd w:fill="F3F4F6" w:color="auto" w:val="clear"/>
        </w:rPr>
        <w:t xml:space="preserve">Reg</w:t>
      </w:r>
      <w:r>
        <w:rPr>
          <w:rFonts w:ascii="Calibri" w:cs="Calibri" w:eastAsia="Calibri" w:hAnsi="Calibri"/>
          <w:b w:val="false"/>
          <w:bCs w:val="false"/>
          <w:i w:val="false"/>
          <w:iCs w:val="false"/>
          <w:strike w:val="false"/>
          <w:color w:val="000000"/>
          <w:sz w:val="22"/>
          <w:szCs w:val="22"/>
        </w:rPr>
        <w:t xml:space="preserve"> (Region), </w:t>
      </w:r>
      <w:r>
        <w:rPr>
          <w:rFonts w:ascii="Courier New" w:cs="Courier New" w:eastAsia="Courier New" w:hAnsi="Courier New"/>
          <w:b w:val="false"/>
          <w:bCs w:val="false"/>
          <w:i w:val="false"/>
          <w:iCs w:val="false"/>
          <w:color w:val="000000"/>
          <w:sz w:val="20"/>
          <w:szCs w:val="20"/>
          <w:shd w:fill="F3F4F6" w:color="auto" w:val="clear"/>
        </w:rPr>
        <w:t xml:space="preserve">Site</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Dept</w:t>
      </w:r>
      <w:r>
        <w:rPr>
          <w:rFonts w:ascii="Calibri" w:cs="Calibri" w:eastAsia="Calibri" w:hAnsi="Calibri"/>
          <w:b w:val="false"/>
          <w:bCs w:val="false"/>
          <w:i w:val="false"/>
          <w:iCs w:val="false"/>
          <w:strike w:val="false"/>
          <w:color w:val="000000"/>
          <w:sz w:val="22"/>
          <w:szCs w:val="22"/>
        </w:rPr>
        <w:t xml:space="preserve"> (Department), </w:t>
      </w:r>
      <w:r>
        <w:rPr>
          <w:rFonts w:ascii="Courier New" w:cs="Courier New" w:eastAsia="Courier New" w:hAnsi="Courier New"/>
          <w:b w:val="false"/>
          <w:bCs w:val="false"/>
          <w:i w:val="false"/>
          <w:iCs w:val="false"/>
          <w:color w:val="000000"/>
          <w:sz w:val="20"/>
          <w:szCs w:val="20"/>
          <w:shd w:fill="F3F4F6" w:color="auto" w:val="clear"/>
        </w:rPr>
        <w:t xml:space="preserve">Tier</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Env</w:t>
      </w:r>
      <w:r>
        <w:rPr>
          <w:rFonts w:ascii="Calibri" w:cs="Calibri" w:eastAsia="Calibri" w:hAnsi="Calibri"/>
          <w:b w:val="false"/>
          <w:bCs w:val="false"/>
          <w:i w:val="false"/>
          <w:iCs w:val="false"/>
          <w:strike w:val="false"/>
          <w:color w:val="000000"/>
          <w:sz w:val="22"/>
          <w:szCs w:val="22"/>
        </w:rPr>
        <w:t xml:space="preserve"> (Environment), </w:t>
      </w:r>
      <w:r>
        <w:rPr>
          <w:rFonts w:ascii="Courier New" w:cs="Courier New" w:eastAsia="Courier New" w:hAnsi="Courier New"/>
          <w:b w:val="false"/>
          <w:bCs w:val="false"/>
          <w:i w:val="false"/>
          <w:iCs w:val="false"/>
          <w:color w:val="000000"/>
          <w:sz w:val="20"/>
          <w:szCs w:val="20"/>
          <w:shd w:fill="F3F4F6" w:color="auto" w:val="clear"/>
        </w:rPr>
        <w:t xml:space="preserve">Role</w:t>
      </w:r>
      <w:r>
        <w:rPr>
          <w:rFonts w:ascii="Calibri" w:cs="Calibri" w:eastAsia="Calibri" w:hAnsi="Calibri"/>
          <w:b w:val="false"/>
          <w:bCs w:val="false"/>
          <w:i w:val="false"/>
          <w:iCs w:val="false"/>
          <w:strike w:val="false"/>
          <w:color w:val="000000"/>
          <w:sz w:val="22"/>
          <w:szCs w:val="22"/>
        </w:rPr>
        <w:t xml:space="preserve"> (DeviceRole)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{DimensionValues}</w:t>
      </w:r>
      <w:r>
        <w:rPr>
          <w:rFonts w:ascii="Calibri" w:cs="Calibri" w:eastAsia="Calibri" w:hAnsi="Calibri"/>
          <w:b w:val="false"/>
          <w:bCs w:val="false"/>
          <w:i w:val="false"/>
          <w:iCs w:val="false"/>
          <w:strike w:val="false"/>
          <w:color w:val="000000"/>
          <w:sz w:val="22"/>
          <w:szCs w:val="22"/>
        </w:rPr>
        <w:t xml:space="preserve"> — The canonical value(s) from the OrgPath Attribute Registry, concatenated with hyphens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{DeviceRole}</w:t>
      </w:r>
      <w:r>
        <w:rPr>
          <w:rFonts w:ascii="Calibri" w:cs="Calibri" w:eastAsia="Calibri" w:hAnsi="Calibri"/>
          <w:b w:val="false"/>
          <w:bCs w:val="false"/>
          <w:i w:val="false"/>
          <w:iCs w:val="false"/>
          <w:strike w:val="false"/>
          <w:color w:val="000000"/>
          <w:sz w:val="22"/>
          <w:szCs w:val="22"/>
        </w:rPr>
        <w:t xml:space="preserve"> — The target DeviceRole, if the group is role-specific. Omit if the group spans all roles.</w:t>
      </w:r>
    </w:p>
    <w:p>
      <w:pPr>
        <w:pStyle w:val="Heading3"/>
        <w:spacing w:after="120" w:before="240" w:line="312" w:lineRule="auto"/>
      </w:pPr>
      <w:r>
        <w:rPr>
          <w:rFonts w:ascii="Calibri" w:cs="Calibri" w:eastAsia="Calibri" w:hAnsi="Calibri"/>
          <w:color w:val="1A1A1A"/>
          <w:sz w:val="28"/>
          <w:szCs w:val="28"/>
        </w:rPr>
        <w:t xml:space="preserve">Examples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Dynamic Group Name</w:t>
            </w:r>
          </w:p>
        </w:tc>
        <w:tc>
          <w:tcPr>
            <w:tcW w:type="pct" w:w="3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Governance Intent</w:t>
            </w:r>
          </w:p>
        </w:tc>
        <w:tc>
          <w:tcPr>
            <w:tcW w:type="pct" w:w="2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Primary Dimensions</w:t>
            </w:r>
          </w:p>
        </w:tc>
      </w:tr>
      <w:tr>
        <w:trPr>
          <w:tblHeader w:val="false"/>
        </w:trPr>
        <w:tc>
          <w:tcPr>
            <w:tcW w:type="pct" w:w="32%"/>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DG-Reg-USEast-Site-NYCHQ-Workstation</w:t>
            </w:r>
          </w:p>
        </w:tc>
        <w:tc>
          <w:tcPr>
            <w:tcW w:type="pct" w:w="3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All workstations in New York HQ, US-East region</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Region + Site + DeviceRole</w:t>
            </w:r>
          </w:p>
        </w:tc>
      </w:tr>
      <w:tr>
        <w:trPr>
          <w:tblHeader w:val="false"/>
        </w:trPr>
        <w:tc>
          <w:tcPr>
            <w:tcW w:type="pct" w:w="32%"/>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DG-Tier-Tier0-Server</w:t>
            </w:r>
          </w:p>
        </w:tc>
        <w:tc>
          <w:tcPr>
            <w:tcW w:type="pct" w:w="3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All Tier 0 servers</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DeviceTier + DeviceRole</w:t>
            </w:r>
          </w:p>
        </w:tc>
      </w:tr>
      <w:tr>
        <w:trPr>
          <w:tblHeader w:val="false"/>
        </w:trPr>
        <w:tc>
          <w:tcPr>
            <w:tcW w:type="pct" w:w="32%"/>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DG-Env-Production-Kiosk</w:t>
            </w:r>
          </w:p>
        </w:tc>
        <w:tc>
          <w:tcPr>
            <w:tcW w:type="pct" w:w="3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All production kiosks</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Environment + DeviceRole</w:t>
            </w:r>
          </w:p>
        </w:tc>
      </w:tr>
      <w:tr>
        <w:trPr>
          <w:tblHeader w:val="false"/>
        </w:trPr>
        <w:tc>
          <w:tcPr>
            <w:tcW w:type="pct" w:w="32%"/>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DG-Dept-Finance-Workstation</w:t>
            </w:r>
          </w:p>
        </w:tc>
        <w:tc>
          <w:tcPr>
            <w:tcW w:type="pct" w:w="3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All Finance department workstations</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Department + DeviceRole</w:t>
            </w:r>
          </w:p>
        </w:tc>
      </w:tr>
      <w:tr>
        <w:trPr>
          <w:tblHeader w:val="false"/>
        </w:trPr>
        <w:tc>
          <w:tcPr>
            <w:tcW w:type="pct" w:w="32%"/>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DG-Dept-Engineering</w:t>
            </w:r>
          </w:p>
        </w:tc>
        <w:tc>
          <w:tcPr>
            <w:tcW w:type="pct" w:w="3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All Engineering department devices (any role)</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Department (all roles)</w:t>
            </w:r>
          </w:p>
        </w:tc>
      </w:tr>
      <w:tr>
        <w:trPr>
          <w:tblHeader w:val="false"/>
        </w:trPr>
        <w:tc>
          <w:tcPr>
            <w:tcW w:type="pct" w:w="32%"/>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DG-Reg-EUWest-Reg-EUNorth-Workstation</w:t>
            </w:r>
          </w:p>
        </w:tc>
        <w:tc>
          <w:tcPr>
            <w:tcW w:type="pct" w:w="3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All managed workstations in EU regions</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Region (multi-value) + DeviceRole</w:t>
            </w:r>
          </w:p>
        </w:tc>
      </w:tr>
      <w:tr>
        <w:trPr>
          <w:tblHeader w:val="false"/>
        </w:trPr>
        <w:tc>
          <w:tcPr>
            <w:tcW w:type="pct" w:w="32%"/>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DG-Compliance-NonCompliant</w:t>
            </w:r>
          </w:p>
        </w:tc>
        <w:tc>
          <w:tcPr>
            <w:tcW w:type="pct" w:w="3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All non-compliant devices (cross-cutting)</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Compliance status (special case)</w:t>
            </w:r>
          </w:p>
        </w:tc>
      </w:tr>
    </w:tbl>
    <w:p>
      <w:pPr>
        <w:spacing w:after="200" w:before="0"/>
      </w:pPr>
    </w:p>
    <w:p>
      <w:pPr>
        <w:pStyle w:val="Heading3"/>
        <w:spacing w:after="120" w:before="240" w:line="312" w:lineRule="auto"/>
      </w:pPr>
      <w:r>
        <w:rPr>
          <w:rFonts w:ascii="Calibri" w:cs="Calibri" w:eastAsia="Calibri" w:hAnsi="Calibri"/>
          <w:color w:val="1A1A1A"/>
          <w:sz w:val="28"/>
          <w:szCs w:val="28"/>
        </w:rPr>
        <w:t xml:space="preserve">Rules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Group names must use only alphanumeric characters and hyphens. No spaces, underscores, or special characters.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Group names must not exceed 120 characters.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Every dynamic group must include a description field documenting the governance intent, the membership rule in human-readable form, and the date of last review.</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Groups targeting specific OrgPath values must reference values exactly as defined in the OrgPath Attribute Registry (Appendix A).</w:t>
      </w:r>
    </w:p>
    <w:p>
      <w:pPr>
        <w:pStyle w:val="Heading1"/>
        <w:spacing w:after="120" w:before="480" w:line="312" w:lineRule="auto"/>
      </w:pPr>
      <w:r>
        <w:rPr>
          <w:rFonts w:ascii="Calibri" w:cs="Calibri" w:eastAsia="Calibri" w:hAnsi="Calibri"/>
          <w:color w:val="1A1A1A"/>
          <w:sz w:val="48"/>
          <w:szCs w:val="48"/>
        </w:rPr>
        <w:t xml:space="preserve">Appendix C: GPO Migration Tracking Template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template provides the canonical tracking structure for GPO-to-Intune migration. Each row represents a discrete configuration intent decomposed from a source GPO (per the methodology in Section 4.2).</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gridCol w:w="100"/>
      </w:tblGrid>
      <w:tr>
        <w:trPr>
          <w:tblHeader/>
        </w:trPr>
        <w:tc>
          <w:tcPr>
            <w:tcW w:type="pct" w:w="1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GPO Name</w:t>
            </w:r>
          </w:p>
        </w:tc>
        <w:tc>
          <w:tcPr>
            <w:tcW w:type="pct" w:w="1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Linked OU</w:t>
            </w:r>
          </w:p>
        </w:tc>
        <w:tc>
          <w:tcPr>
            <w:tcW w:type="pct" w:w="16%"/>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Configuration Intent</w:t>
            </w:r>
          </w:p>
        </w:tc>
        <w:tc>
          <w:tcPr>
            <w:tcW w:type="pct" w:w="1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Intune Policy Type</w:t>
            </w:r>
          </w:p>
        </w:tc>
        <w:tc>
          <w:tcPr>
            <w:tcW w:type="pct" w:w="1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Intune Policy Name</w:t>
            </w:r>
          </w:p>
        </w:tc>
        <w:tc>
          <w:tcPr>
            <w:tcW w:type="pct" w:w="1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Dynamic Group Assignment</w:t>
            </w:r>
          </w:p>
        </w:tc>
        <w:tc>
          <w:tcPr>
            <w:tcW w:type="pct" w:w="1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Migration Status</w:t>
            </w:r>
          </w:p>
        </w:tc>
        <w:tc>
          <w:tcPr>
            <w:tcW w:type="pct" w:w="1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Validation Date</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Workstation-Security-Baseline</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OU=Workstations,OU=NYC</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Password policy: min length 14, complexity enabled</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Security Baseline</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SB-Win11-PasswordPolicy</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DG-Reg-USEast-Site-NYCHQ-Workstation</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Validated</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2026-03-15</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Workstation-Security-Baseline</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OU=Workstations,OU=NYC</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Audit policy: logon events, object access</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Security Baseline</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SB-Win11-AuditPolicy</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DG-Reg-USEast-Site-NYCHQ-Workstation</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Validated</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2026-03-15</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Workstation-Security-Baseline</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OU=Workstations,OU=NYC</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BitLocker: OS drive encryption, TPM required</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Endpoint Security — Disk Encryption</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ES-BitLocker-OSDrive</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DG-Reg-USEast-Site-NYCHQ-Workstation</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In Testing</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Server-Firewall-Rules</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OU=MemberServers,OU=AppX</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Windows Firewall: block inbound except RDP, WinRM</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Endpoint Security — Firewall</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ES-Firewall-Tier1-AppX</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DG-Tier-Tier1-Server</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Not Started</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All-Computers-WSUS</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OU=Computers (domain root)</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WSUS targeting: Production ring, 7-day deferral</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Update Ring</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UR-Production-7DayDeferral</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DG-Env-Production</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Validated</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2026-02-28</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Kiosk-Lockdown</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OU=Kiosks,OU=Production</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AppLocker: allow only kiosk application, Edge</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App Control for Business (WDAC)</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AC-Kiosk-AllowList</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DG-Env-Production-Kiosk</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In Testing</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Finance-DriveMappings</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OU=Workstations,OU=Finance</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Map F: drive to \\fileserver\finance$</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Platform Script (PowerShell)</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PS-DriveMap-Finance</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DG-Dept-Finance-Workstation</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Migrating to SharePoint</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All-Workstations-Certificates</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OU=Workstations (all sites)</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Auto-enroll machine certificate from internal CA</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Certificate Profile (SCEP)</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Cert-SCEP-MachineAuth</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DG-Role-Workstation</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Not Started</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t>
            </w:r>
          </w:p>
        </w:tc>
      </w:tr>
    </w:tbl>
    <w:p>
      <w:pPr>
        <w:spacing w:after="200" w:before="0"/>
      </w:pPr>
    </w:p>
    <w:p>
      <w:pPr>
        <w:pStyle w:val="Heading3"/>
        <w:spacing w:after="120" w:before="240" w:line="312" w:lineRule="auto"/>
      </w:pPr>
      <w:r>
        <w:rPr>
          <w:rFonts w:ascii="Calibri" w:cs="Calibri" w:eastAsia="Calibri" w:hAnsi="Calibri"/>
          <w:color w:val="1A1A1A"/>
          <w:sz w:val="28"/>
          <w:szCs w:val="28"/>
        </w:rPr>
        <w:t xml:space="preserve">Migration Status Values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7%"/>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Status</w:t>
            </w:r>
          </w:p>
        </w:tc>
        <w:tc>
          <w:tcPr>
            <w:tcW w:type="pct" w:w="8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0"/>
                <w:szCs w:val="20"/>
              </w:rPr>
              <w:t xml:space="preserve">Definition</w:t>
            </w:r>
          </w:p>
        </w:tc>
      </w:tr>
      <w:tr>
        <w:trPr>
          <w:tblHeader w:val="false"/>
        </w:trPr>
        <w:tc>
          <w:tcPr>
            <w:tcW w:type="pct" w:w="1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Not Started</w:t>
            </w:r>
          </w:p>
        </w:tc>
        <w:tc>
          <w:tcPr>
            <w:tcW w:type="pct" w:w="8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Configuration intent identified but no Intune policy created.</w:t>
            </w:r>
          </w:p>
        </w:tc>
      </w:tr>
      <w:tr>
        <w:trPr>
          <w:tblHeader w:val="false"/>
        </w:trPr>
        <w:tc>
          <w:tcPr>
            <w:tcW w:type="pct" w:w="1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In Progress</w:t>
            </w:r>
          </w:p>
        </w:tc>
        <w:tc>
          <w:tcPr>
            <w:tcW w:type="pct" w:w="8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Intune policy created but not yet assigned to target group.</w:t>
            </w:r>
          </w:p>
        </w:tc>
      </w:tr>
      <w:tr>
        <w:trPr>
          <w:tblHeader w:val="false"/>
        </w:trPr>
        <w:tc>
          <w:tcPr>
            <w:tcW w:type="pct" w:w="1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In Testing</w:t>
            </w:r>
          </w:p>
        </w:tc>
        <w:tc>
          <w:tcPr>
            <w:tcW w:type="pct" w:w="8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Intune policy assigned to a pilot/test group for validation.</w:t>
            </w:r>
          </w:p>
        </w:tc>
      </w:tr>
      <w:tr>
        <w:trPr>
          <w:tblHeader w:val="false"/>
        </w:trPr>
        <w:tc>
          <w:tcPr>
            <w:tcW w:type="pct" w:w="1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Validated</w:t>
            </w:r>
          </w:p>
        </w:tc>
        <w:tc>
          <w:tcPr>
            <w:tcW w:type="pct" w:w="8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Intune policy verified to produce equivalent configuration state. GPO can be unlinked for migrated devices.</w:t>
            </w:r>
          </w:p>
        </w:tc>
      </w:tr>
      <w:tr>
        <w:trPr>
          <w:tblHeader w:val="false"/>
        </w:trPr>
        <w:tc>
          <w:tcPr>
            <w:tcW w:type="pct" w:w="1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No Equivalent</w:t>
            </w:r>
          </w:p>
        </w:tc>
        <w:tc>
          <w:tcPr>
            <w:tcW w:type="pct" w:w="8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GPO setting has no direct Intune mapping. Alternative remediation strategy documented (see Section 4.3).</w:t>
            </w:r>
          </w:p>
        </w:tc>
      </w:tr>
      <w:tr>
        <w:trPr>
          <w:tblHeader w:val="false"/>
        </w:trPr>
        <w:tc>
          <w:tcPr>
            <w:tcW w:type="pct" w:w="1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Deprecated</w:t>
            </w:r>
          </w:p>
        </w:tc>
        <w:tc>
          <w:tcPr>
            <w:tcW w:type="pct" w:w="8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GPO setting is no longer required in the modern governance model. Documented rationale for retirement.</w:t>
            </w:r>
          </w:p>
        </w:tc>
      </w:tr>
    </w:tbl>
    <w:p>
      <w:pPr>
        <w:spacing w:after="200" w:before="0"/>
      </w:pPr>
    </w:p>
    <w:p>
      <w:pPr>
        <w:spacing w:after="120" w:before="60" w:line="360" w:lineRule="auto"/>
      </w:pPr>
      <w:r>
        <w:rPr>
          <w:rFonts w:ascii="Calibri" w:cs="Calibri" w:eastAsia="Calibri" w:hAnsi="Calibri"/>
          <w:b w:val="false"/>
          <w:bCs w:val="false"/>
          <w:i w:val="false"/>
          <w:iCs w:val="false"/>
          <w:strike w:val="false"/>
          <w:color w:val="666666"/>
          <w:sz w:val="22"/>
          <w:szCs w:val="22"/>
        </w:rPr>
        <w:t xml:space="preserve">— End of Document —</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La5J9WmgFFJRcNq2AGoKt</dc:title>
  <dc:creator>Un-named</dc:creator>
  <dc:description>Generated document</dc:description>
  <cp:lastModifiedBy>Un-named</cp:lastModifiedBy>
  <cp:revision>1</cp:revision>
  <dcterms:created xsi:type="dcterms:W3CDTF">2026-04-20T20:00:40.682Z</dcterms:created>
  <dcterms:modified xsi:type="dcterms:W3CDTF">2026-04-20T20:00:40.682Z</dcterms:modified>
</cp:coreProperties>
</file>

<file path=docProps/custom.xml><?xml version="1.0" encoding="utf-8"?>
<Properties xmlns="http://schemas.openxmlformats.org/officeDocument/2006/custom-properties" xmlns:vt="http://schemas.openxmlformats.org/officeDocument/2006/docPropsVTypes"/>
</file>