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E74B5"/>
          <w:sz w:val="56"/>
          <w:szCs w:val="56"/>
        </w:rPr>
        <w:t xml:space="preserve">Entra ID Org Hierarchy</w:t>
      </w:r>
    </w:p>
    <w:p>
      <w:pPr>
        <w:spacing w:after="80" w:before="0"/>
      </w:pPr>
      <w:r>
        <w:rPr>
          <w:rFonts w:ascii="Arial" w:cs="Arial" w:eastAsia="Arial" w:hAnsi="Arial"/>
          <w:b w:val="false"/>
          <w:bCs w:val="false"/>
          <w:color w:val="1F4E79"/>
          <w:sz w:val="40"/>
          <w:szCs w:val="40"/>
        </w:rPr>
        <w:t xml:space="preserve">Design Guide</w:t>
      </w:r>
    </w:p>
    <w:p>
      <w:pPr>
        <w:pBdr>
          <w:bottom w:val="single" w:color="2E74B5" w:sz="12" w:space="1"/>
        </w:pBdr>
        <w:spacing w:after="360" w:before="120"/>
      </w:pPr>
      <w:r>
        <w:rPr>
          <w:rFonts w:ascii="Arial" w:cs="Arial" w:eastAsia="Arial" w:hAnsi="Arial"/>
          <w:i/>
          <w:iCs/>
          <w:color w:val="666666"/>
          <w:sz w:val="24"/>
          <w:szCs w:val="24"/>
        </w:rPr>
        <w:t xml:space="preserve">Replacing Active Directory OUs with Attributes, Dynamic Groups &amp; Administrative Units</w:t>
      </w:r>
    </w:p>
    <w:p>
      <w:pPr>
        <w:pStyle w:val="Heading1"/>
      </w:pPr>
      <w:r>
        <w:t xml:space="preserve">Introduction</w:t>
      </w:r>
    </w:p>
    <w:p>
      <w:pPr>
        <w:spacing w:after="120"/>
      </w:pPr>
      <w:r>
        <w:t xml:space="preserve">The core tension when migrating from Active Directory (AD) to Entra ID is structural. In AD, hierarchy lives in the container model—OUs and the X.500 tree. In Entra ID, hierarchy lives in attributes and groups, not directory structure.</w:t>
      </w:r>
    </w:p>
    <w:p>
      <w:pPr>
        <w:spacing w:after="240"/>
      </w:pPr>
      <w:r>
        <w:rPr>
          <w:b/>
          <w:bCs/>
          <w:i/>
          <w:iCs/>
        </w:rPr>
        <w:t xml:space="preserve">The key mindset shift: stop thinking "tree of containers" and start thinking "tree of attributes + groups + delegation."</w:t>
      </w:r>
    </w:p>
    <w:p>
      <w:pPr>
        <w:pStyle w:val="Heading1"/>
      </w:pPr>
      <w:r>
        <w:t xml:space="preserve">1. Core Pattern: Org Tree as Attributes + Dynamic Groups</w:t>
      </w:r>
    </w:p>
    <w:p>
      <w:pPr>
        <w:spacing w:after="100"/>
      </w:pPr>
      <w:r>
        <w:t xml:space="preserve">In Entra ID, the organisational tree lives in two places:</w:t>
      </w:r>
    </w:p>
    <w:p>
      <w:pPr>
        <w:pStyle w:val="Heading2"/>
      </w:pPr>
      <w:r>
        <w:t xml:space="preserve">User Attributes (HR-driven)</w:t>
      </w:r>
    </w:p>
    <w:p>
      <w:pPr>
        <w:pStyle w:val="ListParagraph"/>
        <w:numPr>
          <w:ilvl w:val="0"/>
          <w:numId w:val="2"/>
        </w:numPr>
        <w:spacing w:after="40"/>
      </w:pPr>
      <w:r>
        <w:rPr>
          <w:b/>
          <w:bCs/>
        </w:rPr>
        <w:t xml:space="preserve">Built-in: </w:t>
      </w:r>
      <w:r>
        <w:t xml:space="preserve">manager, department, companyName, jobTitle, officeLocation</w:t>
      </w:r>
    </w:p>
    <w:p>
      <w:pPr>
        <w:pStyle w:val="ListParagraph"/>
        <w:numPr>
          <w:ilvl w:val="0"/>
          <w:numId w:val="2"/>
        </w:numPr>
        <w:spacing w:after="160"/>
      </w:pPr>
      <w:r>
        <w:rPr>
          <w:b/>
          <w:bCs/>
        </w:rPr>
        <w:t xml:space="preserve">Custom / extension: </w:t>
      </w:r>
      <w:r>
        <w:t xml:space="preserve">cost center, org unit code, region, line of business, etc.</w:t>
      </w:r>
    </w:p>
    <w:p>
      <w:pPr>
        <w:pStyle w:val="Heading2"/>
      </w:pPr>
      <w:r>
        <w:t xml:space="preserve">Dynamic Groups</w:t>
      </w:r>
    </w:p>
    <w:p>
      <w:pPr>
        <w:spacing w:after="80"/>
      </w:pPr>
      <w:r>
        <w:t xml:space="preserve">Dynamic groups become your "virtual OUs" for app assignment, Conditional Access scoping, license assignment, and access packages. Example rules:</w:t>
      </w:r>
    </w:p>
    <w:p>
      <w:pPr>
        <w:pStyle w:val="ListParagraph"/>
        <w:numPr>
          <w:ilvl w:val="0"/>
          <w:numId w:val="2"/>
        </w:numPr>
        <w:spacing w:after="40"/>
      </w:pPr>
      <w:r>
        <w:rPr>
          <w:rFonts w:ascii="Courier New" w:cs="Courier New" w:eastAsia="Courier New" w:hAnsi="Courier New"/>
          <w:sz w:val="22"/>
          <w:szCs w:val="22"/>
        </w:rPr>
        <w:t xml:space="preserve">user.department -eq "Finance"</w:t>
      </w:r>
    </w:p>
    <w:p>
      <w:pPr>
        <w:pStyle w:val="ListParagraph"/>
        <w:numPr>
          <w:ilvl w:val="0"/>
          <w:numId w:val="2"/>
        </w:numPr>
        <w:spacing w:after="160"/>
      </w:pPr>
      <w:r>
        <w:rPr>
          <w:rFonts w:ascii="Courier New" w:cs="Courier New" w:eastAsia="Courier New" w:hAnsi="Courier New"/>
          <w:sz w:val="22"/>
          <w:szCs w:val="22"/>
        </w:rPr>
        <w:t xml:space="preserve">user.extensionAttribute1 -eq "OU=MD,OU=East,DC=contoso,DC=com"</w:t>
      </w:r>
    </w:p>
    <w:p>
      <w:pPr>
        <w:pBdr>
          <w:left w:val="single" w:color="2E74B5" w:sz="12" w:space="4"/>
        </w:pBdr>
        <w:shd w:fill="EBF3FB" w:val="clear"/>
        <w:spacing w:after="240"/>
        <w:ind w:left="360"/>
      </w:pPr>
      <w:r>
        <w:rPr>
          <w:b/>
          <w:bCs/>
        </w:rPr>
        <w:t xml:space="preserve">Mental model: </w:t>
      </w:r>
      <w:r>
        <w:t xml:space="preserve">An AD OU = "users whose attributes match rule X" → represented as a dynamic group.</w:t>
      </w:r>
    </w:p>
    <w:p>
      <w:pPr>
        <w:pStyle w:val="Heading1"/>
      </w:pPr>
      <w:r>
        <w:t xml:space="preserve">2. Representing Hierarchy: Mimicking a Tree</w:t>
      </w:r>
    </w:p>
    <w:p>
      <w:pPr>
        <w:spacing w:after="120"/>
      </w:pPr>
      <w:r>
        <w:t xml:space="preserve">You can mimic an org tree by encoding hierarchy into attributes and layering groups on top.</w:t>
      </w:r>
    </w:p>
    <w:p>
      <w:pPr>
        <w:pStyle w:val="Heading2"/>
      </w:pPr>
      <w:r>
        <w:t xml:space="preserve">2.1 Encode the Org Path</w:t>
      </w:r>
    </w:p>
    <w:p>
      <w:pPr>
        <w:spacing w:after="80"/>
      </w:pPr>
      <w:r>
        <w:t xml:space="preserve">Pick a canonical attribute (or extension attribute) to hold the org path:</w:t>
      </w:r>
    </w:p>
    <w:p>
      <w:pPr>
        <w:pStyle w:val="ListParagraph"/>
        <w:numPr>
          <w:ilvl w:val="0"/>
          <w:numId w:val="2"/>
        </w:numPr>
        <w:spacing w:after="40"/>
      </w:pPr>
      <w:r>
        <w:rPr>
          <w:rFonts w:ascii="Courier New" w:cs="Courier New" w:eastAsia="Courier New" w:hAnsi="Courier New"/>
          <w:sz w:val="22"/>
          <w:szCs w:val="22"/>
        </w:rPr>
        <w:t xml:space="preserve">OrgPath = "CORP/US/EAST/BALTIMORE/IT"</w:t>
      </w:r>
    </w:p>
    <w:p>
      <w:pPr>
        <w:pStyle w:val="ListParagraph"/>
        <w:numPr>
          <w:ilvl w:val="0"/>
          <w:numId w:val="2"/>
        </w:numPr>
        <w:spacing w:after="160"/>
      </w:pPr>
      <w:r>
        <w:rPr>
          <w:rFonts w:ascii="Courier New" w:cs="Courier New" w:eastAsia="Courier New" w:hAnsi="Courier New"/>
          <w:sz w:val="22"/>
          <w:szCs w:val="22"/>
        </w:rPr>
        <w:t xml:space="preserve">OrgDnCode = "OU=IT,OU=Baltimore,OU=East,OU=US,DC=corp,DC=contoso,DC=com"</w:t>
      </w:r>
    </w:p>
    <w:p>
      <w:pPr>
        <w:spacing w:after="80"/>
      </w:pPr>
      <w:r>
        <w:t xml:space="preserve">This enables two matching modes:</w:t>
      </w:r>
    </w:p>
    <w:p>
      <w:pPr>
        <w:pStyle w:val="ListParagraph"/>
        <w:numPr>
          <w:ilvl w:val="0"/>
          <w:numId w:val="2"/>
        </w:numPr>
        <w:spacing w:after="40"/>
      </w:pPr>
      <w:r>
        <w:rPr>
          <w:b/>
          <w:bCs/>
        </w:rPr>
        <w:t xml:space="preserve">Exact node: </w:t>
      </w:r>
      <w:r>
        <w:rPr>
          <w:rFonts w:ascii="Courier New" w:cs="Courier New" w:eastAsia="Courier New" w:hAnsi="Courier New"/>
          <w:sz w:val="22"/>
          <w:szCs w:val="22"/>
        </w:rPr>
        <w:t xml:space="preserve">user.extensionAttribute1 -eq "CORP/US/EAST/BALTIMORE/IT"</w:t>
      </w:r>
    </w:p>
    <w:p>
      <w:pPr>
        <w:pStyle w:val="ListParagraph"/>
        <w:numPr>
          <w:ilvl w:val="0"/>
          <w:numId w:val="2"/>
        </w:numPr>
        <w:spacing w:after="160"/>
      </w:pPr>
      <w:r>
        <w:rPr>
          <w:b/>
          <w:bCs/>
        </w:rPr>
        <w:t xml:space="preserve">Branch / subtree: </w:t>
      </w:r>
      <w:r>
        <w:rPr>
          <w:rFonts w:ascii="Courier New" w:cs="Courier New" w:eastAsia="Courier New" w:hAnsi="Courier New"/>
          <w:sz w:val="22"/>
          <w:szCs w:val="22"/>
        </w:rPr>
        <w:t xml:space="preserve">user.extensionAttribute1 -startsWith "CORP/US/EAST"</w:t>
      </w:r>
    </w:p>
    <w:p>
      <w:pPr>
        <w:spacing w:after="80"/>
      </w:pPr>
      <w:r>
        <w:t xml:space="preserve">Resulting dynamic group definitions:</w:t>
      </w:r>
    </w:p>
    <w:p>
      <w:pPr>
        <w:pStyle w:val="ListParagraph"/>
        <w:numPr>
          <w:ilvl w:val="0"/>
          <w:numId w:val="2"/>
        </w:numPr>
        <w:spacing w:after="40"/>
      </w:pPr>
      <w:r>
        <w:rPr>
          <w:b/>
          <w:bCs/>
        </w:rPr>
        <w:t xml:space="preserve">"US-East-All": </w:t>
      </w:r>
      <w:r>
        <w:rPr>
          <w:rFonts w:ascii="Courier New" w:cs="Courier New" w:eastAsia="Courier New" w:hAnsi="Courier New"/>
          <w:sz w:val="22"/>
          <w:szCs w:val="22"/>
        </w:rPr>
        <w:t xml:space="preserve">user.extensionAttribute1 -startsWith "CORP/US/EAST"</w:t>
      </w:r>
    </w:p>
    <w:p>
      <w:pPr>
        <w:pStyle w:val="ListParagraph"/>
        <w:numPr>
          <w:ilvl w:val="0"/>
          <w:numId w:val="2"/>
        </w:numPr>
        <w:spacing w:after="240"/>
      </w:pPr>
      <w:r>
        <w:rPr>
          <w:b/>
          <w:bCs/>
        </w:rPr>
        <w:t xml:space="preserve">"Baltimore-IT": </w:t>
      </w:r>
      <w:r>
        <w:rPr>
          <w:rFonts w:ascii="Courier New" w:cs="Courier New" w:eastAsia="Courier New" w:hAnsi="Courier New"/>
          <w:sz w:val="22"/>
          <w:szCs w:val="22"/>
        </w:rPr>
        <w:t xml:space="preserve">user.extensionAttribute1 -eq "CORP/US/EAST/BALTIMORE/IT"</w:t>
      </w:r>
    </w:p>
    <w:p>
      <w:pPr>
        <w:pStyle w:val="Heading1"/>
      </w:pPr>
      <w:r>
        <w:t xml:space="preserve">3. Manager-Based Org Tree for HR Workflows</w:t>
      </w:r>
    </w:p>
    <w:p>
      <w:pPr>
        <w:spacing w:after="120"/>
      </w:pPr>
      <w:r>
        <w:t xml:space="preserve">For HR-style management (approvals, access reviews, joiner/mover/leaver), use the manager attribute as the org chart spine.</w:t>
      </w:r>
    </w:p>
    <w:p>
      <w:pPr>
        <w:pStyle w:val="Heading2"/>
      </w:pPr>
      <w:r>
        <w:t xml:space="preserve">HR System Provisioning</w:t>
      </w:r>
    </w:p>
    <w:p>
      <w:pPr>
        <w:spacing w:after="80"/>
      </w:pPr>
      <w:r>
        <w:t xml:space="preserve">The HR system populates the following attributes in Entra ID via HR connector / provisioning:</w:t>
      </w:r>
    </w:p>
    <w:p>
      <w:pPr>
        <w:pStyle w:val="ListParagraph"/>
        <w:numPr>
          <w:ilvl w:val="0"/>
          <w:numId w:val="2"/>
        </w:numPr>
        <w:spacing w:after="40"/>
      </w:pPr>
      <w:r>
        <w:t xml:space="preserve">manager</w:t>
      </w:r>
    </w:p>
    <w:p>
      <w:pPr>
        <w:pStyle w:val="ListParagraph"/>
        <w:numPr>
          <w:ilvl w:val="0"/>
          <w:numId w:val="2"/>
        </w:numPr>
        <w:spacing w:after="40"/>
      </w:pPr>
      <w:r>
        <w:t xml:space="preserve">department</w:t>
      </w:r>
    </w:p>
    <w:p>
      <w:pPr>
        <w:pStyle w:val="ListParagraph"/>
        <w:numPr>
          <w:ilvl w:val="0"/>
          <w:numId w:val="2"/>
        </w:numPr>
        <w:spacing w:after="40"/>
      </w:pPr>
      <w:r>
        <w:t xml:space="preserve">jobTitle</w:t>
      </w:r>
    </w:p>
    <w:p>
      <w:pPr>
        <w:pStyle w:val="ListParagraph"/>
        <w:numPr>
          <w:ilvl w:val="0"/>
          <w:numId w:val="2"/>
        </w:numPr>
        <w:spacing w:after="160"/>
      </w:pPr>
      <w:r>
        <w:t xml:space="preserve">OrgPath / OrgDnCode</w:t>
      </w:r>
    </w:p>
    <w:p>
      <w:pPr>
        <w:pStyle w:val="Heading2"/>
      </w:pPr>
      <w:r>
        <w:t xml:space="preserve">Entra ID Governance Features</w:t>
      </w:r>
    </w:p>
    <w:p>
      <w:pPr>
        <w:pStyle w:val="ListParagraph"/>
        <w:numPr>
          <w:ilvl w:val="0"/>
          <w:numId w:val="2"/>
        </w:numPr>
        <w:spacing w:after="40"/>
      </w:pPr>
      <w:r>
        <w:t xml:space="preserve">Manager as approver for access packages</w:t>
      </w:r>
    </w:p>
    <w:p>
      <w:pPr>
        <w:pStyle w:val="ListParagraph"/>
        <w:numPr>
          <w:ilvl w:val="0"/>
          <w:numId w:val="2"/>
        </w:numPr>
        <w:spacing w:after="40"/>
      </w:pPr>
      <w:r>
        <w:t xml:space="preserve">Manager-based access reviews</w:t>
      </w:r>
    </w:p>
    <w:p>
      <w:pPr>
        <w:pStyle w:val="ListParagraph"/>
        <w:numPr>
          <w:ilvl w:val="0"/>
          <w:numId w:val="2"/>
        </w:numPr>
        <w:spacing w:after="240"/>
      </w:pPr>
      <w:r>
        <w:t xml:space="preserve">Manager-scoped reports (who reports to whom)</w:t>
      </w:r>
    </w:p>
    <w:p>
      <w:pPr>
        <w:pStyle w:val="Heading1"/>
      </w:pPr>
      <w:r>
        <w:t xml:space="preserve">4. Delegation: Replacing OU-Scoped Admin</w:t>
      </w:r>
    </w:p>
    <w:p>
      <w:pPr>
        <w:spacing w:after="120"/>
      </w:pPr>
      <w:r>
        <w:t xml:space="preserve">In AD you delegate on OUs. In Entra ID, you combine Administrative Units (AUs) with scoped role assignments.</w:t>
      </w:r>
    </w:p>
    <w:p>
      <w:pPr>
        <w:pStyle w:val="Heading2"/>
      </w:pPr>
      <w:r>
        <w:t xml:space="preserve">Administrative Units (AUs)</w:t>
      </w:r>
    </w:p>
    <w:p>
      <w:pPr>
        <w:spacing w:after="80"/>
      </w:pPr>
      <w:r>
        <w:t xml:space="preserve">Scope helpdesk/admin roles to a subset of users (e.g. "US-East AU", "Baltimore AU"). AU membership can be:</w:t>
      </w:r>
    </w:p>
    <w:p>
      <w:pPr>
        <w:pStyle w:val="ListParagraph"/>
        <w:numPr>
          <w:ilvl w:val="0"/>
          <w:numId w:val="2"/>
        </w:numPr>
        <w:spacing w:after="40"/>
      </w:pPr>
      <w:r>
        <w:t xml:space="preserve">Static</w:t>
      </w:r>
    </w:p>
    <w:p>
      <w:pPr>
        <w:pStyle w:val="ListParagraph"/>
        <w:numPr>
          <w:ilvl w:val="0"/>
          <w:numId w:val="2"/>
        </w:numPr>
        <w:spacing w:after="160"/>
      </w:pPr>
      <w:r>
        <w:t xml:space="preserve">Dynamic — using the same org attributes, e.g. </w:t>
      </w:r>
      <w:r>
        <w:rPr>
          <w:rFonts w:ascii="Courier New" w:cs="Courier New" w:eastAsia="Courier New" w:hAnsi="Courier New"/>
          <w:sz w:val="22"/>
          <w:szCs w:val="22"/>
        </w:rPr>
        <w:t xml:space="preserve">OrgPath -startsWith "CORP/US/EAST"</w:t>
      </w:r>
    </w:p>
    <w:p>
      <w:pPr>
        <w:pBdr>
          <w:left w:val="single" w:color="2E74B5" w:sz="12" w:space="4"/>
        </w:pBdr>
        <w:shd w:fill="EBF3FB" w:val="clear"/>
        <w:spacing w:after="240"/>
        <w:ind w:left="360"/>
      </w:pPr>
      <w:r>
        <w:rPr>
          <w:b/>
          <w:bCs/>
        </w:rPr>
        <w:t xml:space="preserve">Mapping: </w:t>
      </w:r>
      <w:r>
        <w:t xml:space="preserve">"User Administrator" scoped to "Baltimore AU"  ≈  Delegated admin on Baltimore OU.  In short: OU for delegation → AU + dynamic membership.</w:t>
      </w:r>
    </w:p>
    <w:p>
      <w:pPr>
        <w:pStyle w:val="Heading1"/>
      </w:pPr>
      <w:r>
        <w:t xml:space="preserve">5. Access Control: Org-Based Management Without OUs</w:t>
      </w:r>
    </w:p>
    <w:p>
      <w:pPr>
        <w:spacing w:after="120"/>
      </w:pPr>
      <w:r>
        <w:t xml:space="preserve">Once you have org attributes and dynamic groups, you can drive all major access control scenarios:</w:t>
      </w:r>
    </w:p>
    <w:p>
      <w:pPr>
        <w:pStyle w:val="ListParagraph"/>
        <w:numPr>
          <w:ilvl w:val="0"/>
          <w:numId w:val="2"/>
        </w:numPr>
        <w:spacing w:after="40"/>
      </w:pPr>
      <w:r>
        <w:rPr>
          <w:b/>
          <w:bCs/>
        </w:rPr>
        <w:t xml:space="preserve">Licensing: </w:t>
      </w:r>
      <w:r>
        <w:t xml:space="preserve">Group-based licensing per org node (e.g. "Baltimore-IT-M365-E5").</w:t>
      </w:r>
    </w:p>
    <w:p>
      <w:pPr>
        <w:pStyle w:val="ListParagraph"/>
        <w:numPr>
          <w:ilvl w:val="0"/>
          <w:numId w:val="2"/>
        </w:numPr>
        <w:spacing w:after="40"/>
      </w:pPr>
      <w:r>
        <w:rPr>
          <w:b/>
          <w:bCs/>
        </w:rPr>
        <w:t xml:space="preserve">App assignment: </w:t>
      </w:r>
      <w:r>
        <w:t xml:space="preserve">Assign apps to org groups (e.g. "Finance-Global", "US-East-Sales").</w:t>
      </w:r>
    </w:p>
    <w:p>
      <w:pPr>
        <w:pStyle w:val="ListParagraph"/>
        <w:numPr>
          <w:ilvl w:val="0"/>
          <w:numId w:val="2"/>
        </w:numPr>
        <w:spacing w:after="40"/>
      </w:pPr>
      <w:r>
        <w:rPr>
          <w:b/>
          <w:bCs/>
        </w:rPr>
        <w:t xml:space="preserve">Conditional Access: </w:t>
      </w:r>
      <w:r>
        <w:t xml:space="preserve">Include/exclude org groups (e.g. stricter MFA for "HighRisk-OrgPath").</w:t>
      </w:r>
    </w:p>
    <w:p>
      <w:pPr>
        <w:pStyle w:val="ListParagraph"/>
        <w:numPr>
          <w:ilvl w:val="0"/>
          <w:numId w:val="2"/>
        </w:numPr>
        <w:spacing w:after="160"/>
      </w:pPr>
      <w:r>
        <w:rPr>
          <w:b/>
          <w:bCs/>
        </w:rPr>
        <w:t xml:space="preserve">Entitlement management: </w:t>
      </w:r>
      <w:r>
        <w:t xml:space="preserve">Access packages per org, with manager or org-owner approvals.</w:t>
      </w:r>
    </w:p>
    <w:p>
      <w:pPr>
        <w:pBdr>
          <w:left w:val="single" w:color="2E74B5" w:sz="12" w:space="4"/>
        </w:pBdr>
        <w:shd w:fill="EBF3FB" w:val="clear"/>
        <w:spacing w:after="240"/>
        <w:ind w:left="360"/>
      </w:pPr>
      <w:r>
        <w:rPr>
          <w:i/>
          <w:iCs/>
        </w:rPr>
        <w:t xml:space="preserve">Everything that used to be "put user in OU X" becomes "user's attributes place them in group(s) Y."</w:t>
      </w:r>
    </w:p>
    <w:p>
      <w:pPr>
        <w:pStyle w:val="Heading1"/>
      </w:pPr>
      <w:r>
        <w:t xml:space="preserve">6. Migration Pattern from AD OUs to Entra ID</w:t>
      </w:r>
    </w:p>
    <w:p>
      <w:pPr>
        <w:spacing w:after="120"/>
      </w:pPr>
      <w:r>
        <w:t xml:space="preserve">If you are migrating from a rich X.500 tree, follow this six-step process:</w:t>
      </w:r>
    </w:p>
    <w:p>
      <w:pPr>
        <w:pStyle w:val="ListParagraph"/>
        <w:numPr>
          <w:ilvl w:val="0"/>
          <w:numId w:val="3"/>
        </w:numPr>
        <w:spacing w:after="40"/>
      </w:pPr>
      <w:r>
        <w:rPr>
          <w:b/>
          <w:bCs/>
        </w:rPr>
        <w:t xml:space="preserve">Extract the OU path </w:t>
      </w:r>
      <w:r>
        <w:t xml:space="preserve">for each user from on-premises AD. Example: </w:t>
      </w:r>
      <w:r>
        <w:rPr>
          <w:rFonts w:ascii="Courier New" w:cs="Courier New" w:eastAsia="Courier New" w:hAnsi="Courier New"/>
          <w:sz w:val="22"/>
          <w:szCs w:val="22"/>
        </w:rPr>
        <w:t xml:space="preserve">OU=IT,OU=Baltimore,OU=East,OU=US,DC=corp,DC=contoso,DC=com</w:t>
      </w:r>
    </w:p>
    <w:p>
      <w:pPr>
        <w:pStyle w:val="ListParagraph"/>
        <w:numPr>
          <w:ilvl w:val="0"/>
          <w:numId w:val="3"/>
        </w:numPr>
        <w:spacing w:after="40"/>
      </w:pPr>
      <w:r>
        <w:rPr>
          <w:b/>
          <w:bCs/>
        </w:rPr>
        <w:t xml:space="preserve">Map to a canonical org code </w:t>
      </w:r>
      <w:r>
        <w:t xml:space="preserve">— normalise into something stable and human-readable, e.g. </w:t>
      </w:r>
      <w:r>
        <w:rPr>
          <w:rFonts w:ascii="Courier New" w:cs="Courier New" w:eastAsia="Courier New" w:hAnsi="Courier New"/>
          <w:sz w:val="22"/>
          <w:szCs w:val="22"/>
        </w:rPr>
        <w:t xml:space="preserve">CORP/US/EAST/BALTIMORE/IT</w:t>
      </w:r>
    </w:p>
    <w:p>
      <w:pPr>
        <w:pStyle w:val="ListParagraph"/>
        <w:numPr>
          <w:ilvl w:val="0"/>
          <w:numId w:val="3"/>
        </w:numPr>
        <w:spacing w:after="40"/>
      </w:pPr>
      <w:r>
        <w:rPr>
          <w:b/>
          <w:bCs/>
        </w:rPr>
        <w:t xml:space="preserve">Write that into a synced attribute </w:t>
      </w:r>
      <w:r>
        <w:t xml:space="preserve">— use extensionAttributeX or a custom cloud attribute.</w:t>
      </w:r>
    </w:p>
    <w:p>
      <w:pPr>
        <w:pStyle w:val="ListParagraph"/>
        <w:numPr>
          <w:ilvl w:val="0"/>
          <w:numId w:val="3"/>
        </w:numPr>
        <w:spacing w:after="40"/>
      </w:pPr>
      <w:r>
        <w:rPr>
          <w:b/>
          <w:bCs/>
        </w:rPr>
        <w:t xml:space="preserve">Define dynamic groups </w:t>
      </w:r>
      <w:r>
        <w:t xml:space="preserve">— per node and per branch, using </w:t>
      </w:r>
      <w:r>
        <w:rPr>
          <w:rFonts w:ascii="Courier New" w:cs="Courier New" w:eastAsia="Courier New" w:hAnsi="Courier New"/>
          <w:sz w:val="22"/>
          <w:szCs w:val="22"/>
        </w:rPr>
        <w:t xml:space="preserve">-eq</w:t>
      </w:r>
      <w:r>
        <w:t xml:space="preserve"> and </w:t>
      </w:r>
      <w:r>
        <w:rPr>
          <w:rFonts w:ascii="Courier New" w:cs="Courier New" w:eastAsia="Courier New" w:hAnsi="Courier New"/>
          <w:sz w:val="22"/>
          <w:szCs w:val="22"/>
        </w:rPr>
        <w:t xml:space="preserve">-startsWith</w:t>
      </w:r>
      <w:r>
        <w:t xml:space="preserve"> rules.</w:t>
      </w:r>
    </w:p>
    <w:p>
      <w:pPr>
        <w:pStyle w:val="ListParagraph"/>
        <w:numPr>
          <w:ilvl w:val="0"/>
          <w:numId w:val="3"/>
        </w:numPr>
        <w:spacing w:after="40"/>
      </w:pPr>
      <w:r>
        <w:rPr>
          <w:b/>
          <w:bCs/>
        </w:rPr>
        <w:t xml:space="preserve">Define Administrative Units </w:t>
      </w:r>
      <w:r>
        <w:t xml:space="preserve">— use the same rules to scope admin.</w:t>
      </w:r>
    </w:p>
    <w:p>
      <w:pPr>
        <w:pStyle w:val="ListParagraph"/>
        <w:numPr>
          <w:ilvl w:val="0"/>
          <w:numId w:val="3"/>
        </w:numPr>
        <w:spacing w:after="80"/>
      </w:pPr>
      <w:r>
        <w:rPr>
          <w:b/>
          <w:bCs/>
        </w:rPr>
        <w:t xml:space="preserve">Gradually move policies: </w:t>
      </w:r>
    </w:p>
    <w:p>
      <w:pPr>
        <w:pStyle w:val="ListParagraph"/>
        <w:numPr>
          <w:ilvl w:val="1"/>
          <w:numId w:val="2"/>
        </w:numPr>
        <w:spacing w:after="40"/>
      </w:pPr>
      <w:r>
        <w:t xml:space="preserve">GPO-style things → Intune / MDM</w:t>
      </w:r>
    </w:p>
    <w:p>
      <w:pPr>
        <w:pStyle w:val="ListParagraph"/>
        <w:numPr>
          <w:ilvl w:val="1"/>
          <w:numId w:val="2"/>
        </w:numPr>
        <w:spacing w:after="40"/>
      </w:pPr>
      <w:r>
        <w:t xml:space="preserve">OU-based security groups → dynamic groups</w:t>
      </w:r>
    </w:p>
    <w:p>
      <w:pPr>
        <w:pStyle w:val="ListParagraph"/>
        <w:numPr>
          <w:ilvl w:val="1"/>
          <w:numId w:val="2"/>
        </w:numPr>
        <w:spacing w:after="240"/>
      </w:pPr>
      <w:r>
        <w:t xml:space="preserve">OU-based delegation → AUs + scoped roles</w:t>
      </w:r>
    </w:p>
    <w:p>
      <w:pPr>
        <w:pStyle w:val="Heading1"/>
      </w:pPr>
      <w:r>
        <w:t xml:space="preserve">7. Design Checklist for an HR-Based Org Tree in Entra ID</w:t>
      </w:r>
    </w:p>
    <w:p>
      <w:pPr>
        <w:spacing w:after="120"/>
      </w:pPr>
      <w:r>
        <w:t xml:space="preserve">Use this checklist when designing or reviewing an Entra ID org structure:</w:t>
      </w:r>
    </w:p>
    <w:p>
      <w:pPr>
        <w:pStyle w:val="ListParagraph"/>
        <w:numPr>
          <w:ilvl w:val="0"/>
          <w:numId w:val="2"/>
        </w:numPr>
        <w:spacing w:after="60"/>
      </w:pPr>
      <w:r>
        <w:rPr>
          <w:b/>
          <w:bCs/>
        </w:rPr>
        <w:t xml:space="preserve">Decide canonical org attributes: </w:t>
      </w:r>
      <w:r>
        <w:t xml:space="preserve">must-haves are manager, department, OrgPath (or equivalent).</w:t>
      </w:r>
    </w:p>
    <w:p>
      <w:pPr>
        <w:pStyle w:val="ListParagraph"/>
        <w:numPr>
          <w:ilvl w:val="0"/>
          <w:numId w:val="2"/>
        </w:numPr>
        <w:spacing w:after="60"/>
      </w:pPr>
      <w:r>
        <w:rPr>
          <w:b/>
          <w:bCs/>
        </w:rPr>
        <w:t xml:space="preserve">Make HR the source of truth: </w:t>
      </w:r>
      <w:r>
        <w:t xml:space="preserve">HR → Entra ID provisioning populates these attributes.</w:t>
      </w:r>
    </w:p>
    <w:p>
      <w:pPr>
        <w:pStyle w:val="ListParagraph"/>
        <w:numPr>
          <w:ilvl w:val="0"/>
          <w:numId w:val="2"/>
        </w:numPr>
        <w:spacing w:after="60"/>
      </w:pPr>
      <w:r>
        <w:rPr>
          <w:b/>
          <w:bCs/>
        </w:rPr>
        <w:t xml:space="preserve">Define hierarchy encoding: </w:t>
      </w:r>
      <w:r>
        <w:t xml:space="preserve">string path or X.500-like code, stable over time.</w:t>
      </w:r>
    </w:p>
    <w:p>
      <w:pPr>
        <w:pStyle w:val="ListParagraph"/>
        <w:numPr>
          <w:ilvl w:val="0"/>
          <w:numId w:val="2"/>
        </w:numPr>
        <w:spacing w:after="60"/>
      </w:pPr>
      <w:r>
        <w:rPr>
          <w:b/>
          <w:bCs/>
        </w:rPr>
        <w:t xml:space="preserve">Create dynamic groups: </w:t>
      </w:r>
      <w:r>
        <w:t xml:space="preserve">per org node and per major branch.</w:t>
      </w:r>
    </w:p>
    <w:p>
      <w:pPr>
        <w:pStyle w:val="ListParagraph"/>
        <w:numPr>
          <w:ilvl w:val="0"/>
          <w:numId w:val="2"/>
        </w:numPr>
        <w:spacing w:after="60"/>
      </w:pPr>
      <w:r>
        <w:rPr>
          <w:b/>
          <w:bCs/>
        </w:rPr>
        <w:t xml:space="preserve">Create Administrative Units: </w:t>
      </w:r>
      <w:r>
        <w:t xml:space="preserve">scoped by the same attributes for delegated admin.</w:t>
      </w:r>
    </w:p>
    <w:p>
      <w:pPr>
        <w:pStyle w:val="ListParagraph"/>
        <w:numPr>
          <w:ilvl w:val="0"/>
          <w:numId w:val="2"/>
        </w:numPr>
        <w:spacing w:after="60"/>
      </w:pPr>
      <w:r>
        <w:rPr>
          <w:b/>
          <w:bCs/>
        </w:rPr>
        <w:t xml:space="preserve">Wire governance: </w:t>
      </w:r>
      <w:r>
        <w:t xml:space="preserve">manager-based approvals and access reviews, group-based licensing and app assignment.</w:t>
      </w:r>
    </w:p>
    <w:p>
      <w:pPr>
        <w:pStyle w:val="Heading1"/>
      </w:pPr>
      <w:r>
        <w:t xml:space="preserve">8. Managing Assets with Intune Using This Strategy</w:t>
      </w:r>
    </w:p>
    <w:p>
      <w:pPr>
        <w:spacing w:after="120"/>
      </w:pPr>
      <w:r>
        <w:t xml:space="preserve">The same attribute + dynamic group pattern used for user management maps directly onto Intune device management. The key insight is that devices follow the same organisational hierarchy as users — you simply apply identical concepts to the device dimension.</w:t>
      </w:r>
    </w:p>
    <w:p>
      <w:pPr>
        <w:pStyle w:val="Heading2"/>
      </w:pPr>
      <w:r>
        <w:t xml:space="preserve">8.1 Device Groups Mirror User Groups</w:t>
      </w:r>
    </w:p>
    <w:p>
      <w:pPr>
        <w:spacing w:after="80"/>
      </w:pPr>
      <w:r>
        <w:t xml:space="preserve">Just as you created dynamic user groups from OrgPath, you create dynamic device groups using the same logic. There are two approaches:</w:t>
      </w:r>
    </w:p>
    <w:p>
      <w:pPr>
        <w:pStyle w:val="ListParagraph"/>
        <w:numPr>
          <w:ilvl w:val="0"/>
          <w:numId w:val="2"/>
        </w:numPr>
        <w:spacing w:after="60"/>
      </w:pPr>
      <w:r>
        <w:rPr>
          <w:b/>
          <w:bCs/>
        </w:rPr>
        <w:t xml:space="preserve">Primary user inheritance: </w:t>
      </w:r>
      <w:r>
        <w:t xml:space="preserve">Enroll devices against a user so the device inherits their org attributes via the primary user relationship.</w:t>
      </w:r>
    </w:p>
    <w:p>
      <w:pPr>
        <w:pStyle w:val="ListParagraph"/>
        <w:numPr>
          <w:ilvl w:val="0"/>
          <w:numId w:val="2"/>
        </w:numPr>
        <w:spacing w:after="160"/>
      </w:pPr>
      <w:r>
        <w:rPr>
          <w:b/>
          <w:bCs/>
        </w:rPr>
        <w:t xml:space="preserve">Device extension attributes: </w:t>
      </w:r>
      <w:r>
        <w:t xml:space="preserve">Stamp org attributes onto devices directly during enrollment via Autopilot or enrollment profiles.</w:t>
      </w:r>
    </w:p>
    <w:p>
      <w:pPr>
        <w:pStyle w:val="Heading2"/>
      </w:pPr>
      <w:r>
        <w:t xml:space="preserve">8.2 Autopilot Group Tags Encode the Hierarchy</w:t>
      </w:r>
    </w:p>
    <w:p>
      <w:pPr>
        <w:spacing w:after="80"/>
      </w:pPr>
      <w:r>
        <w:t xml:space="preserve">When a device ships, assign it a Group Tag that encodes its org path (e.g. </w:t>
      </w:r>
      <w:r>
        <w:rPr>
          <w:rFonts w:ascii="Courier New" w:cs="Courier New" w:eastAsia="Courier New" w:hAnsi="Courier New"/>
          <w:sz w:val="22"/>
          <w:szCs w:val="22"/>
        </w:rPr>
        <w:t xml:space="preserve">CORP-US-EAST-BALTIMORE-IT</w:t>
      </w:r>
      <w:r>
        <w:t xml:space="preserve">). Dynamic device group rules then pull the device into the right group automatically — no manual assignment needed:</w:t>
      </w:r>
    </w:p>
    <w:p>
      <w:pPr>
        <w:pStyle w:val="ListParagraph"/>
        <w:numPr>
          <w:ilvl w:val="0"/>
          <w:numId w:val="2"/>
        </w:numPr>
        <w:spacing w:after="40"/>
      </w:pPr>
      <w:r>
        <w:rPr>
          <w:rFonts w:ascii="Courier New" w:cs="Courier New" w:eastAsia="Courier New" w:hAnsi="Courier New"/>
          <w:sz w:val="22"/>
          <w:szCs w:val="22"/>
        </w:rPr>
        <w:t xml:space="preserve">device.enrollmentProfileName -eq "Baltimore-IT"</w:t>
      </w:r>
    </w:p>
    <w:p>
      <w:pPr>
        <w:pStyle w:val="ListParagraph"/>
        <w:numPr>
          <w:ilvl w:val="0"/>
          <w:numId w:val="2"/>
        </w:numPr>
        <w:spacing w:after="160"/>
      </w:pPr>
      <w:r>
        <w:rPr>
          <w:rFonts w:ascii="Courier New" w:cs="Courier New" w:eastAsia="Courier New" w:hAnsi="Courier New"/>
          <w:sz w:val="22"/>
          <w:szCs w:val="22"/>
        </w:rPr>
        <w:t xml:space="preserve">device.devicePhysicalIds -any _ -startsWith "[OrderID]:CORP/US/EAST"</w:t>
      </w:r>
    </w:p>
    <w:p>
      <w:pPr>
        <w:pStyle w:val="Heading2"/>
      </w:pPr>
      <w:r>
        <w:t xml:space="preserve">8.3 Configuration Profiles Replace GPOs</w:t>
      </w:r>
    </w:p>
    <w:p>
      <w:pPr>
        <w:spacing w:after="80"/>
      </w:pPr>
      <w:r>
        <w:t xml:space="preserve">Instead of linking GPOs to OUs, assign Intune Configuration Profiles, Compliance Policies, and App deployments to your dynamic device groups. The scoping is identical to your user group strategy:</w:t>
      </w:r>
    </w:p>
    <w:p>
      <w:pPr>
        <w:pStyle w:val="ListParagraph"/>
        <w:numPr>
          <w:ilvl w:val="0"/>
          <w:numId w:val="2"/>
        </w:numPr>
        <w:spacing w:after="40"/>
      </w:pPr>
      <w:r>
        <w:rPr>
          <w:b/>
          <w:bCs/>
        </w:rPr>
        <w:t xml:space="preserve">"Baltimore-IT-Devices" </w:t>
      </w:r>
      <w:r>
        <w:t xml:space="preserve">receives one set of configuration profiles.</w:t>
      </w:r>
    </w:p>
    <w:p>
      <w:pPr>
        <w:pStyle w:val="ListParagraph"/>
        <w:numPr>
          <w:ilvl w:val="0"/>
          <w:numId w:val="2"/>
        </w:numPr>
        <w:spacing w:after="40"/>
      </w:pPr>
      <w:r>
        <w:rPr>
          <w:b/>
          <w:bCs/>
        </w:rPr>
        <w:t xml:space="preserve">"US-East-All-Devices" </w:t>
      </w:r>
      <w:r>
        <w:t xml:space="preserve">receives regional compliance baselines.</w:t>
      </w:r>
    </w:p>
    <w:p>
      <w:pPr>
        <w:pStyle w:val="ListParagraph"/>
        <w:numPr>
          <w:ilvl w:val="0"/>
          <w:numId w:val="2"/>
        </w:numPr>
        <w:spacing w:after="160"/>
      </w:pPr>
      <w:r>
        <w:rPr>
          <w:b/>
          <w:bCs/>
        </w:rPr>
        <w:t xml:space="preserve">"Finance-Global-Devices" </w:t>
      </w:r>
      <w:r>
        <w:t xml:space="preserve">receives stricter encryption and DLP profiles.</w:t>
      </w:r>
    </w:p>
    <w:p>
      <w:pPr>
        <w:pStyle w:val="Heading2"/>
      </w:pPr>
      <w:r>
        <w:t xml:space="preserve">8.4 Scope Tags Replace OU-Scoped Admin</w:t>
      </w:r>
    </w:p>
    <w:p>
      <w:pPr>
        <w:spacing w:after="80"/>
      </w:pPr>
      <w:r>
        <w:t xml:space="preserve">Intune Scope Tags are the direct Intune equivalent of Administrative Units. You assign a Scope Tag (e.g. "US-East") to policies, apps, and devices, then restrict a helpdesk admin's role to only that tag.</w:t>
      </w:r>
    </w:p>
    <w:p>
      <w:pPr>
        <w:pBdr>
          <w:left w:val="single" w:color="2E74B5" w:sz="12" w:space="4"/>
        </w:pBdr>
        <w:shd w:fill="EBF3FB" w:val="clear"/>
        <w:spacing w:after="160"/>
        <w:ind w:left="360"/>
      </w:pPr>
      <w:r>
        <w:rPr>
          <w:b/>
          <w:bCs/>
        </w:rPr>
        <w:t xml:space="preserve">Mapping: </w:t>
      </w:r>
      <w:r>
        <w:t xml:space="preserve">Intune Scope Tag "Baltimore" + scoped Helpdesk role  ≈  AU + scoped role in Entra ID  ≈  Delegated admin on Baltimore OU in AD.</w:t>
      </w:r>
    </w:p>
    <w:p>
      <w:pPr>
        <w:pStyle w:val="Heading2"/>
      </w:pPr>
      <w:r>
        <w:t xml:space="preserve">8.5 Conditional Access Ties It Together</w:t>
      </w:r>
    </w:p>
    <w:p>
      <w:pPr>
        <w:spacing w:after="80"/>
      </w:pPr>
      <w:r>
        <w:t xml:space="preserve">Your existing Entra dynamic user groups can be used in Conditional Access to require compliant devices. For example:</w:t>
      </w:r>
    </w:p>
    <w:p>
      <w:pPr>
        <w:pStyle w:val="ListParagraph"/>
        <w:numPr>
          <w:ilvl w:val="0"/>
          <w:numId w:val="2"/>
        </w:numPr>
        <w:spacing w:after="40"/>
      </w:pPr>
      <w:r>
        <w:t xml:space="preserve">A user in </w:t>
      </w:r>
      <w:r>
        <w:rPr>
          <w:rFonts w:ascii="Courier New" w:cs="Courier New" w:eastAsia="Courier New" w:hAnsi="Courier New"/>
          <w:sz w:val="22"/>
          <w:szCs w:val="22"/>
        </w:rPr>
        <w:t xml:space="preserve">Finance-Global</w:t>
      </w:r>
      <w:r>
        <w:t xml:space="preserve"> can only access sensitive apps from a device that is both enrolled in Intune and compliant with the Finance compliance policy.</w:t>
      </w:r>
    </w:p>
    <w:p>
      <w:pPr>
        <w:pStyle w:val="ListParagraph"/>
        <w:numPr>
          <w:ilvl w:val="0"/>
          <w:numId w:val="2"/>
        </w:numPr>
        <w:spacing w:after="160"/>
      </w:pPr>
      <w:r>
        <w:t xml:space="preserve">A user in </w:t>
      </w:r>
      <w:r>
        <w:rPr>
          <w:rFonts w:ascii="Courier New" w:cs="Courier New" w:eastAsia="Courier New" w:hAnsi="Courier New"/>
          <w:sz w:val="22"/>
          <w:szCs w:val="22"/>
        </w:rPr>
        <w:t xml:space="preserve">HighRisk-OrgPath</w:t>
      </w:r>
      <w:r>
        <w:t xml:space="preserve"> is required to use a managed, compliant device — no BYOD.</w:t>
      </w:r>
    </w:p>
    <w:p>
      <w:pPr>
        <w:pStyle w:val="Heading2"/>
      </w:pPr>
      <w:r>
        <w:t xml:space="preserve">8.6 Full Concept Mapping</w:t>
      </w:r>
    </w:p>
    <w:p>
      <w:pPr>
        <w:spacing w:after="240"/>
      </w:pPr>
      <w:r>
        <w:t xml:space="preserve">The table below summarises how every AD/GPO concept maps across both Entra ID and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AD/GPO Concept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Entra ID Equivalent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Intune Equivalent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Dynamic group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Dynamic device group</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GPO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Configuration Profile / Compliance Policy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OU-scoped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Administrative Unit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Scope Tag + scoped role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Group Policy loopback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Device group policy (device-targeted)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Group membership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Dynamic group via OrgPath attribute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Device group via Group Tag / enrollment profile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Security filtering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Conditional Access user group include/exclude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Conditional Access device compliance requirement</w:t>
            </w:r>
          </w:p>
        </w:tc>
      </w:tr>
    </w:tbl>
    <w:p>
      <w:pPr>
        <w:spacing w:after="240"/>
      </w:pPr>
    </w:p>
    <w:p>
      <w:pPr>
        <w:pStyle w:val="Heading2"/>
      </w:pPr>
      <w:r>
        <w:t xml:space="preserve">8.7 Intune Design Checklist</w:t>
      </w:r>
    </w:p>
    <w:p>
      <w:pPr>
        <w:spacing w:after="100"/>
      </w:pPr>
      <w:r>
        <w:t xml:space="preserve">Use this checklist when extending the org hierarchy strategy to device management:</w:t>
      </w:r>
    </w:p>
    <w:p>
      <w:pPr>
        <w:pStyle w:val="ListParagraph"/>
        <w:numPr>
          <w:ilvl w:val="0"/>
          <w:numId w:val="2"/>
        </w:numPr>
        <w:spacing w:after="60"/>
      </w:pPr>
      <w:r>
        <w:rPr>
          <w:b/>
          <w:bCs/>
        </w:rPr>
        <w:t xml:space="preserve">Define device group tag schema: </w:t>
      </w:r>
      <w:r>
        <w:t xml:space="preserve">mirror the OrgPath convention used for users (e.g. CORP/US/EAST/BALTIMORE/IT).</w:t>
      </w:r>
    </w:p>
    <w:p>
      <w:pPr>
        <w:pStyle w:val="ListParagraph"/>
        <w:numPr>
          <w:ilvl w:val="0"/>
          <w:numId w:val="2"/>
        </w:numPr>
        <w:spacing w:after="60"/>
      </w:pPr>
      <w:r>
        <w:rPr>
          <w:b/>
          <w:bCs/>
        </w:rPr>
        <w:t xml:space="preserve">Configure Autopilot group tags: </w:t>
      </w:r>
      <w:r>
        <w:t xml:space="preserve">assign at procurement so devices land in the right group on first boot.</w:t>
      </w:r>
    </w:p>
    <w:p>
      <w:pPr>
        <w:pStyle w:val="ListParagraph"/>
        <w:numPr>
          <w:ilvl w:val="0"/>
          <w:numId w:val="2"/>
        </w:numPr>
        <w:spacing w:after="60"/>
      </w:pPr>
      <w:r>
        <w:rPr>
          <w:b/>
          <w:bCs/>
        </w:rPr>
        <w:t xml:space="preserve">Create dynamic device groups: </w:t>
      </w:r>
      <w:r>
        <w:t xml:space="preserve">per org node and branch, using Group Tag or enrollment profile rules.</w:t>
      </w:r>
    </w:p>
    <w:p>
      <w:pPr>
        <w:pStyle w:val="ListParagraph"/>
        <w:numPr>
          <w:ilvl w:val="0"/>
          <w:numId w:val="2"/>
        </w:numPr>
        <w:spacing w:after="60"/>
      </w:pPr>
      <w:r>
        <w:rPr>
          <w:b/>
          <w:bCs/>
        </w:rPr>
        <w:t xml:space="preserve">Assign Scope Tags: </w:t>
      </w:r>
      <w:r>
        <w:t xml:space="preserve">match your AU structure — one Scope Tag per delegated admin boundary.</w:t>
      </w:r>
    </w:p>
    <w:p>
      <w:pPr>
        <w:pStyle w:val="ListParagraph"/>
        <w:numPr>
          <w:ilvl w:val="0"/>
          <w:numId w:val="2"/>
        </w:numPr>
        <w:spacing w:after="60"/>
      </w:pPr>
      <w:r>
        <w:rPr>
          <w:b/>
          <w:bCs/>
        </w:rPr>
        <w:t xml:space="preserve">Map GPOs to Configuration Profiles: </w:t>
      </w:r>
      <w:r>
        <w:t xml:space="preserve">assign profiles to device groups, not users, for machine-level settings.</w:t>
      </w:r>
    </w:p>
    <w:p>
      <w:pPr>
        <w:pStyle w:val="ListParagraph"/>
        <w:numPr>
          <w:ilvl w:val="0"/>
          <w:numId w:val="2"/>
        </w:numPr>
        <w:spacing w:after="60"/>
      </w:pPr>
      <w:r>
        <w:rPr>
          <w:b/>
          <w:bCs/>
        </w:rPr>
        <w:t xml:space="preserve">Wire Conditional Access: </w:t>
      </w:r>
      <w:r>
        <w:t xml:space="preserve">require device compliance for high-risk user groups and sensitive app access.</w:t>
      </w:r>
    </w:p>
    <w:p>
      <w:pPr>
        <w:pStyle w:val="ListParagraph"/>
        <w:numPr>
          <w:ilvl w:val="0"/>
          <w:numId w:val="2"/>
        </w:numPr>
        <w:spacing w:after="240"/>
      </w:pPr>
      <w:r>
        <w:rPr>
          <w:b/>
          <w:bCs/>
        </w:rPr>
        <w:t xml:space="preserve">Test device group membership: </w:t>
      </w:r>
      <w:r>
        <w:t xml:space="preserve">verify devices land in the correct dynamic groups before rolling out policies broadly.</w:t>
      </w:r>
    </w:p>
    <w:p>
      <w:pPr>
        <w:pStyle w:val="Heading1"/>
      </w:pPr>
      <w:r>
        <w:t xml:space="preserve">Next Steps</w:t>
      </w:r>
    </w:p>
    <w:p>
      <w:pPr>
        <w:spacing w:after="120"/>
      </w:pPr>
      <w:r>
        <w:t xml:space="preserve">To proceed, consider taking a concrete slice of your current AD tree (e.g. a few OUs) and designing the exact attribute schema, dynamic group rules, and Intune Scope Tag structure that would reproduce that environment in Entra ID and Intune. This hands-on mapping exercise will surface any edge cases specific to your organisation.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spacing w:before="80"/>
    </w:pPr>
    <w:r>
      <w:rPr>
        <w:rFonts w:ascii="Arial" w:cs="Arial" w:eastAsia="Arial" w:hAnsi="Arial"/>
        <w:color w:val="999999"/>
        <w:sz w:val="18"/>
        <w:szCs w:val="18"/>
      </w:rPr>
      <w:t xml:space="preserve">Confidential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80"/>
    </w:pPr>
    <w:r>
      <w:rPr>
        <w:rFonts w:ascii="Arial" w:cs="Arial" w:eastAsia="Arial" w:hAnsi="Arial"/>
        <w:color w:val="666666"/>
        <w:sz w:val="20"/>
        <w:szCs w:val="20"/>
      </w:rPr>
      <w:t xml:space="preserve">Entra ID Org Hierarchy 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4B5"/>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2026-04-10T13:42:53.592Z</dcterms:created>
  <dcterms:modified xsi:type="dcterms:W3CDTF">2026-04-10T13:42:53.592Z</dcterms:modified>
</cp:coreProperties>
</file>

<file path=docProps/custom.xml><?xml version="1.0" encoding="utf-8"?>
<Properties xmlns="http://schemas.openxmlformats.org/officeDocument/2006/custom-properties" xmlns:vt="http://schemas.openxmlformats.org/officeDocument/2006/docPropsVTypes"/>
</file>