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480" w:line="312" w:lineRule="auto"/>
        <w:jc w:val="center"/>
      </w:pPr>
      <w:r>
        <w:rPr>
          <w:rFonts w:ascii="Calibri" w:cs="Calibri" w:eastAsia="Calibri" w:hAnsi="Calibri"/>
          <w:color w:val="4472C4"/>
          <w:sz w:val="48"/>
          <w:szCs w:val="48"/>
        </w:rPr>
        <w:t xml:space="preserve">UIAO Core Ingestion and Evidence Pipeline</w:t>
      </w:r>
    </w:p>
    <w:p>
      <w:pPr>
        <w:spacing w:after="240" w:before="60" w:line="360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4472C4"/>
          <w:sz w:val="22"/>
          <w:szCs w:val="22"/>
        </w:rPr>
        <w:t xml:space="preserve">Complete Deliverables Package</w:t>
      </w:r>
    </w:p>
    <w:p>
      <w:pPr>
        <w:spacing w:after="240" w:before="6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33333"/>
          <w:sz w:val="22"/>
          <w:szCs w:val="22"/>
        </w:rPr>
        <w:t xml:space="preserve">SCuBA Adapter  +  KSI Evidence Linker  +  Governance/CI Integration</w:t>
      </w:r>
    </w:p>
    <w:p>
      <w:pPr>
        <w:spacing w:after="240" w:before="6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22"/>
          <w:szCs w:val="22"/>
        </w:rPr>
        <w:t xml:space="preserve">April 2026</w:t>
      </w:r>
    </w:p>
    <w:p>
      <w:pPr>
        <w:spacing w:after="60" w:before="6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666666"/>
          <w:sz w:val="22"/>
          <w:szCs w:val="22"/>
        </w:rPr>
        <w:t xml:space="preserve">“Transforming vendor-specific security reports into standardized, audit-ready OSCAL evidence.”</w:t>
      </w:r>
    </w:p>
    <w:p>
      <w:pPr>
        <w:pBdr>
          <w:bottom w:val="single" w:color="4472C4" w:sz="6"/>
        </w:pBdr>
        <w:spacing w:after="240" w:before="24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4472C4"/>
          <w:sz w:val="36"/>
          <w:szCs w:val="36"/>
        </w:rPr>
        <w:t xml:space="preserve">Table of Contents</w:t>
      </w:r>
    </w:p>
    <w:p>
      <w:pPr>
        <w:spacing w:after="80" w:before="6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1.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  Automated UIAO Compliance Pipeline Diagram</w:t>
      </w:r>
    </w:p>
    <w:p>
      <w:pPr>
        <w:spacing w:after="80" w:before="6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2.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  Understanding the UIAO Core Ingestion and Evidence Pipeline</w:t>
      </w:r>
    </w:p>
    <w:p>
      <w:pPr>
        <w:spacing w:after="8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2.1   What Problem Does This Component Solve?</w:t>
      </w:r>
    </w:p>
    <w:p>
      <w:pPr>
        <w:spacing w:after="8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2.2   What This Component Is (In Plain English)</w:t>
      </w:r>
    </w:p>
    <w:p>
      <w:pPr>
        <w:spacing w:after="8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2.3   How the Data Flows Through the System</w:t>
      </w:r>
    </w:p>
    <w:p>
      <w:pPr>
        <w:spacing w:after="8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2.4   Why This Matters (The Real-World Impact)</w:t>
      </w:r>
    </w:p>
    <w:p>
      <w:pPr>
        <w:spacing w:after="8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2.5   Summary</w:t>
      </w:r>
    </w:p>
    <w:p>
      <w:pPr>
        <w:spacing w:after="80" w:before="6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3.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  Microsoft Learn Module Outline</w:t>
      </w:r>
    </w:p>
    <w:p>
      <w:pPr>
        <w:spacing w:after="80" w:before="6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4.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  Comic-Style Explanation: The Adventures of SCuBA and the Evidence Machine</w:t>
      </w:r>
    </w:p>
    <w:p>
      <w:pPr>
        <w:spacing w:after="80" w:before="6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5.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  Leadership-Facing One-Page Summary</w:t>
      </w:r>
    </w:p>
    <w:p>
      <w:pPr>
        <w:spacing w:after="80" w:before="6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6.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  Technical Deep Dive for Engineers</w:t>
      </w:r>
    </w:p>
    <w:p>
      <w:pPr>
        <w:pBdr>
          <w:bottom w:val="single" w:color="000000" w:sz="6"/>
        </w:pBdr>
        <w:spacing w:after="240" w:before="240"/>
      </w:pP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4472C4"/>
          <w:sz w:val="48"/>
          <w:szCs w:val="48"/>
        </w:rPr>
        <w:t xml:space="preserve">1. Automated UIAO Compliance Pipeline: SCuBA to OSCAL</w:t>
      </w:r>
    </w:p>
    <w:p>
      <w:pPr>
        <w:spacing w:after="80" w:before="200"/>
        <w:jc w:val="center"/>
      </w:pPr>
      <w:r>
        <w:drawing>
          <wp:inline distT="0" distB="0" distL="0" distR="0">
            <wp:extent cx="59436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20"/>
          <w:szCs w:val="20"/>
        </w:rPr>
        <w:t xml:space="preserve">Figure 1 — Automated UIAO Compliance Pipeline: SCuBA to OSCAL</w:t>
      </w:r>
    </w:p>
    <w:p>
      <w:pPr>
        <w:spacing w:after="80" w:before="6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Figure 2 — Detailed Pipeline Architecture (Text Diagram)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┌────────────────────────────────┐
                          │     SCuBA Report File          │
                          │  (JSON or YAML from M365)      │
                          └──────────────┬─────────────────┘
                                         │
                                         ▼
                         ┌────────────────────────────────┐
                         │        UIAO SCuBA Adapter       │
                         │  - connect()                    │
                         │  - discover_schema()            │
                         │  - execute_query()              │
                         │  - normalize()                  │
                         │  - detect_drift()               │
                         │  - collect_and_align()          │
                         └──────────────┬─────────────────┘
                                         │
                                         ▼
                         ┌────────────────────────────────┐
                         │     Canonical UIAO Claims       │
                         │  (vendor-neutral truth fabric)  │
                         └──────────────┬─────────────────┘
                                         │
                                         ▼
                         ┌────────────────────────────────┐
                         │     KSI Evidence Linker         │
                         │  - loads 163 KSI rules          │
                         │  - maps to NIST 800-53          │
                         │  - builds EvidenceArtifacts     │
                         │  - generates OSCAL resources    │
                         └──────────────┬─────────────────┘
                                         │
                                         ▼
                         ┌────────────────────────────────┐
                         │     OSCAL Back-Matter Output    │
                         │  - evidence resources           │
                         │  - control mappings             │
                         │  - SSP injection blocks         │
                         └──────────────┬─────────────────┘
                                         │
                                         ▼
                         ┌────────────────────────────────┐
                         │   ATO / FedRAMP Documentation   │
                         │  - machine-verifiable evidence  │
                         │  - drift summaries              │
                         │  - audit-ready artifacts        │
                         └────────────────────────────────┘</w:t>
      </w:r>
    </w:p>
    <w:p>
      <w:pPr>
        <w:pBdr>
          <w:bottom w:val="single" w:color="000000" w:sz="6"/>
        </w:pBdr>
        <w:spacing w:after="240" w:before="240"/>
      </w:pP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4472C4"/>
          <w:sz w:val="48"/>
          <w:szCs w:val="48"/>
        </w:rPr>
        <w:t xml:space="preserve">2. Understanding the UIAO Core Ingestion and Evidence Pipeline</w:t>
      </w:r>
    </w:p>
    <w:p>
      <w:pPr>
        <w:spacing w:after="240" w:before="60" w:line="360" w:lineRule="auto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4472C4"/>
          <w:sz w:val="22"/>
          <w:szCs w:val="22"/>
        </w:rPr>
        <w:t xml:space="preserve">How UIAO turns messy vendor data into clean, trustworthy, audit-ready evidence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4472C4"/>
          <w:sz w:val="36"/>
          <w:szCs w:val="36"/>
        </w:rPr>
        <w:t xml:space="preserve">Introduction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Modern cloud environments generate enormous amounts of configuration data, logs, and security reports. Every vendor formats this information differently, uses different terminology, and organizes their settings in unique ways.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For agencies and enterprises, this creates a major challenge: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nil" w:color="FFFFFF" w:sz="0"/>
              <w:left w:val="single" w:color="4472C4" w:sz="24"/>
              <w:bottom w:val="nil" w:color="FFFFFF" w:sz="0"/>
              <w:right w:val="nil" w:color="FFFFFF" w:sz="0"/>
            </w:tcBorders>
            <w:shd w:fill="FFFFFF" w:color="auto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20" w:line="408" w:lineRule="auto"/>
            </w:pPr>
            <w:r>
              <w:rPr>
                <w:i/>
                <w:iCs/>
              </w:rPr>
              <w:t xml:space="preserve">“</w:t>
            </w:r>
          </w:p>
          <w:p>
            <w:pPr>
              <w:spacing w:after="120" w:line="408" w:lineRule="auto"/>
            </w:pPr>
            <w:r>
              <w:rPr>
                <w:i/>
                <w:iCs/>
              </w:rPr>
              <w:t xml:space="preserve">How do you turn all these inconsistent reports into a single, trustworthy, repeatable source of truth?</w:t>
            </w:r>
          </w:p>
          <w:p>
            <w:pPr>
              <w:spacing w:after="120" w:line="408" w:lineRule="auto"/>
            </w:pPr>
            <w:r>
              <w:rPr>
                <w:i/>
                <w:iCs/>
              </w:rPr>
              <w:t xml:space="preserve">”</w:t>
            </w:r>
          </w:p>
        </w:tc>
      </w:tr>
    </w:tbl>
    <w:p>
      <w:pPr>
        <w:spacing w:after="240" w:before="0"/>
      </w:pP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UIAO (Unified Identity, Addressing, and Observability) solves this by acting as a translator, cleaner, and evidence generator.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component completed — the SCuBA Adapter + KSI Evidence Linker — is the first fully operational example of this pipeline.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This module explains: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What this component does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Why it exists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How data flows through it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How it supports audits, ATOs, and continuous monitoring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4472C4"/>
          <w:sz w:val="36"/>
          <w:szCs w:val="36"/>
        </w:rPr>
        <w:t xml:space="preserve">2.1 What Problem Does This Component Solve?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Agencies rely on tools like SCuBA (Secure Cloud Business Applications) to check whether Microsoft 365 environments follow federal security baselines.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But SCuBA reports are: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Vendor-specific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Hard to compare across systems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Not aligned to NIST controls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Not directly usable in OSCAL or ATO packages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UIAO fixes this by: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Reading SCuBA reports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Translating them into UIAO's universal format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Detecting drift from expected baselines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Mapping results to NIST 800-53 controls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Generating OSCAL evidence automatically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This turns a raw vendor report into clean, consistent, audit-ready evidence.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4472C4"/>
          <w:sz w:val="36"/>
          <w:szCs w:val="36"/>
        </w:rPr>
        <w:t xml:space="preserve">2.2 What This Component Is (In Plain English)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This UIAO Core component is made of two major parts: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4472C4"/>
          <w:sz w:val="28"/>
          <w:szCs w:val="28"/>
        </w:rPr>
        <w:t xml:space="preserve">A. The SCuBA Adapter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 specialized "reader" that understands SCuBA reports and converts them into UIAO's universal language.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It performs tasks like: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Opening the SCuBA report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Understanding its structure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Extracting settings and results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Normalizing them into UIAO's standard format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Detecting when something is out of compliance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Preparing the data for evidence generation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Think of it as a universal translator for Microsoft 365 security baselines.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4472C4"/>
          <w:sz w:val="28"/>
          <w:szCs w:val="28"/>
        </w:rPr>
        <w:t xml:space="preserve">B. The KSI Evidence Linker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Once the adapter produces clean, normalized data, the Evidence Linker: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Reads UIAO's 163 KSI rules (Knowledge, Signals, and Inference rules)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Matches SCuBA findings to NIST 800-53 controls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Creates OSCAL back-matter evidence files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Builds control-to-evidence maps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Injects evidence into an SSP (System Security Plan)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Think of it as a machine that turns raw findings into official audit evidence.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4472C4"/>
          <w:sz w:val="36"/>
          <w:szCs w:val="36"/>
        </w:rPr>
        <w:t xml:space="preserve">2.3 How the Data Flows Through the System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4472C4"/>
          <w:sz w:val="28"/>
          <w:szCs w:val="28"/>
        </w:rPr>
        <w:t xml:space="preserve">Step 1 — A SCuBA Report Is Generated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An agency runs Microsoft's SCuBA tool, which produces a report in JSON or YAML. This report contains security settings, compliance results, policy IDs, and product-specific findings (AAD, EXO, SharePoint, Teams, Defender). At this stage, the data is vendor-specific and not standardized.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4472C4"/>
          <w:sz w:val="28"/>
          <w:szCs w:val="28"/>
        </w:rPr>
        <w:t xml:space="preserve">Step 2 — UIAO's SCuBA Adapter Reads the Report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adapter opens the file, identifies the format (JSON/YAML), loads the data into memory, and validates that it matches expected SCuBA schemas. This is similar to opening a spreadsheet and checking that the columns make sense.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4472C4"/>
          <w:sz w:val="28"/>
          <w:szCs w:val="28"/>
        </w:rPr>
        <w:t xml:space="preserve">Step 3 — The Adapter Normalizes the Data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This is the most important part. The adapter converts SCuBA's vendor-specific fields into UIAO's canonical claim format, such as: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uiao.policy.id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uiao.policy.expected_value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uiao.policy.actual_value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uiao.policy.status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uiao.policy.product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uiao.policy.nist_controls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This step ensures that every vendor, every product, and every report uses the same structure. This is what makes UIAO a "unified truth fabric."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4472C4"/>
          <w:sz w:val="28"/>
          <w:szCs w:val="28"/>
        </w:rPr>
        <w:t xml:space="preserve">Step 4 — Drift Detection Runs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UIAO compares what SCuBA says vs. what the baseline expects. If something is misconfigured, missing, or out of alignment, UIAO generates a drift signal.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Example: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"Teams external sharing is enabled, but baseline requires it to be disabled."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These drift signals become part of the evidence package.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4472C4"/>
          <w:sz w:val="28"/>
          <w:szCs w:val="28"/>
        </w:rPr>
        <w:t xml:space="preserve">Step 5 — The Adapter Emits Canonical Claims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After normalization and drift detection, the adapter produces a clean, structured set of UIAO claims. These claims are: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Vendor-neutral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Machine-readable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Consistent across all adapters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Ready for evidence generation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This is the "truth" that UIAO uses internally.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4472C4"/>
          <w:sz w:val="28"/>
          <w:szCs w:val="28"/>
        </w:rPr>
        <w:t xml:space="preserve">Step 6 — The KSI Evidence Linker Processes the Claims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Evidence Linker loads all 163 KSI rules, matches each SCuBA claim to relevant rules, determines which NIST controls apply, creates EvidenceArtifacts, builds OSCAL back-matter entries, and prepares SSP injection blocks. Raw SCuBA findings become official OSCAL evidence.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4472C4"/>
          <w:sz w:val="28"/>
          <w:szCs w:val="28"/>
        </w:rPr>
        <w:t xml:space="preserve">Step 7 — OSCAL Evidence Is Generated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output includes: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Back-matter resources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Control-to-evidence mappings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Evidence summaries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SSP-ready text blocks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Machine-verifiable artifacts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This is the exact format required for FedRAMP, ATO packages, continuous monitoring, audits, and inheritance models.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4472C4"/>
          <w:sz w:val="28"/>
          <w:szCs w:val="28"/>
        </w:rPr>
        <w:t xml:space="preserve">Step 8 — CI Validates Everything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lint fixes and tests ensure: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adapter works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evidence linker works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CLI command works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repository stays drift-free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Every change is validated automatically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This enforces UIAO's governance model: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No drift. No ambiguity. No broken pipelines.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4472C4"/>
          <w:sz w:val="36"/>
          <w:szCs w:val="36"/>
        </w:rPr>
        <w:t xml:space="preserve">2.4 Why This Matters (The Real-World Impact)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This component enables agencies to: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Automatically convert SCuBA output into NIST-aligned evidence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Detect configuration drift in Microsoft 365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Produce OSCAL artifacts without manual work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Maintain a consistent, repeatable compliance pipeline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Reduce audit preparation time from weeks to minutes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Support multi-cloud, multi-vendor environments with a single framework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It is the first fully operational example of UIAO's vision: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A unified, deterministic, machine-verifiable truth fabric for identity, addressing, and observability.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4472C4"/>
          <w:sz w:val="36"/>
          <w:szCs w:val="36"/>
        </w:rPr>
        <w:t xml:space="preserve">2.5 Summary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SCuBA Adapter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reads Microsoft 365 SCuBA reports and converts them into UIAO's universal claim format.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KSI Evidence Linker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takes those claims and generates OSCAL evidence aligned to NIST 800-53.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CI governance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ensures the entire pipeline remains deterministic, validated, and drift-free.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Together, they form a complete ingestion, normalization, drift detection, and evidence generation pipeline.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This pipeline transforms vendor-specific reports into standardized, audit-ready evidence suitable for ATOs and continuous monitoring.</w:t>
      </w:r>
    </w:p>
    <w:p>
      <w:pPr>
        <w:pBdr>
          <w:bottom w:val="single" w:color="000000" w:sz="6"/>
        </w:pBdr>
        <w:spacing w:after="240" w:before="240"/>
      </w:pP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4472C4"/>
          <w:sz w:val="48"/>
          <w:szCs w:val="48"/>
        </w:rPr>
        <w:t xml:space="preserve">3. Microsoft Learn Module Outline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333333"/>
          <w:sz w:val="22"/>
          <w:szCs w:val="22"/>
        </w:rPr>
        <w:t xml:space="preserve">Module Title: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4472C4"/>
          <w:sz w:val="22"/>
          <w:szCs w:val="22"/>
        </w:rPr>
        <w:t xml:space="preserve">Transforming SCuBA Reports into OSCAL Evidence with UIAO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4472C4"/>
          <w:sz w:val="36"/>
          <w:szCs w:val="36"/>
        </w:rPr>
        <w:t xml:space="preserve">Learning Objectives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By the end of this module, you will be able to: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Describe how UIAO ingests and normalizes vendor-specific security reports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Explain how the SCuBA Adapter converts Microsoft 365 baselines into canonical UIAO claims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Understand how the KSI Evidence Linker maps claims to NIST 800-53 controls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Trace the full data flow from SCuBA to UIAO to OSCAL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Identify how UIAO supports ATO, FedRAMP, and continuous monitoring workflows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4472C4"/>
          <w:sz w:val="36"/>
          <w:szCs w:val="36"/>
        </w:rPr>
        <w:t xml:space="preserve">Unit 1 — Introduction to UIAO's Evidence Pipeline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Why cloud security data is inconsistent across vendors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role of UIAO as a "truth fabric"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Overview of adapters, claims, and evidence generation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4472C4"/>
          <w:sz w:val="36"/>
          <w:szCs w:val="36"/>
        </w:rPr>
        <w:t xml:space="preserve">Unit 2 — Understanding SCuBA and Its Output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What SCuBA is and why agencies use it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Structure of SCuBA JSON/YAML reports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Challenges with using SCuBA directly for audits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4472C4"/>
          <w:sz w:val="36"/>
          <w:szCs w:val="36"/>
        </w:rPr>
        <w:t xml:space="preserve">Unit 3 — The SCuBA Adapter Lifecycle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How UIAO adapters follow a consistent lifecycle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Breakdown of each method: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connect()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discover_schema()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execute_query()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normalize()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detect_drift()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collect_and_align()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How normalization creates vendor-neutral claims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4472C4"/>
          <w:sz w:val="36"/>
          <w:szCs w:val="36"/>
        </w:rPr>
        <w:t xml:space="preserve">Unit 4 — Drift Detection and Canonical Claims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What drift is and why it matters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How UIAO identifies misconfigurations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How claims become the foundation for evidence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4472C4"/>
          <w:sz w:val="36"/>
          <w:szCs w:val="36"/>
        </w:rPr>
        <w:t xml:space="preserve">Unit 5 — The KSI Evidence Linker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Purpose of KSI rules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How 163 YAML rules map to NIST controls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How EvidenceArtifacts are created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How OSCAL back-matter is generated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4472C4"/>
          <w:sz w:val="36"/>
          <w:szCs w:val="36"/>
        </w:rPr>
        <w:t xml:space="preserve">Unit 6 — Producing Audit-Ready OSCAL Evidence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How UIAO outputs OSCAL resources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How evidence is injected into SSPs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How this supports ATO and continuous monitoring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4472C4"/>
          <w:sz w:val="36"/>
          <w:szCs w:val="36"/>
        </w:rPr>
        <w:t xml:space="preserve">Knowledge Check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Multiple-choice questions about the pipeline covering adapter lifecycle, drift detection, KSI rule matching, and OSCAL output generation.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4472C4"/>
          <w:sz w:val="36"/>
          <w:szCs w:val="36"/>
        </w:rPr>
        <w:t xml:space="preserve">Summary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Review of the full SCuBA → UIAO → OSCAL flow. Key benefits for agencies and auditors.</w:t>
      </w:r>
    </w:p>
    <w:p>
      <w:pPr>
        <w:pBdr>
          <w:bottom w:val="single" w:color="000000" w:sz="6"/>
        </w:pBdr>
        <w:spacing w:after="240" w:before="240"/>
      </w:pP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4472C4"/>
          <w:sz w:val="48"/>
          <w:szCs w:val="48"/>
        </w:rPr>
        <w:t xml:space="preserve">4. Comic-Style Explanation: The Adventures of SCuBA and the Evidence Machine</w:t>
      </w:r>
    </w:p>
    <w:p>
      <w:pPr>
        <w:spacing w:after="240" w:before="60" w:line="360" w:lineRule="auto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666666"/>
          <w:sz w:val="22"/>
          <w:szCs w:val="22"/>
        </w:rPr>
        <w:t xml:space="preserve">A lighthearted walkthrough of the UIAO pipeline — panel by panel.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8FAFD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4472C4"/>
                <w:sz w:val="22"/>
                <w:szCs w:val="22"/>
              </w:rPr>
              <w:t xml:space="preserve">Panel 1 — The Messy Report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trike w:val="false"/>
                <w:color w:val="000000"/>
                <w:sz w:val="22"/>
                <w:szCs w:val="22"/>
              </w:rPr>
              <w:t xml:space="preserve">SCuBA stands holding a giant, messy stack of JSON and YAML papers.</w:t>
            </w:r>
          </w:p>
          <w:p>
            <w:pPr>
              <w:spacing w:after="120" w:line="408" w:lineRule="auto"/>
            </w:pPr>
            <w:r>
              <w:t xml:space="preserve">“I checked your Microsoft 365 settings... but I speak my own language!”</w:t>
            </w:r>
          </w:p>
        </w:tc>
      </w:tr>
    </w:tbl>
    <w:p>
      <w:pPr>
        <w:spacing w:after="24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8FAFD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4472C4"/>
                <w:sz w:val="22"/>
                <w:szCs w:val="22"/>
              </w:rPr>
              <w:t xml:space="preserve">Panel 2 — Enter UIAO Adapter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trike w:val="false"/>
                <w:color w:val="000000"/>
                <w:sz w:val="22"/>
                <w:szCs w:val="22"/>
              </w:rPr>
              <w:t xml:space="preserve">A friendly robot labeled UIAO Adapter rolls in with a translator headset.</w:t>
            </w:r>
          </w:p>
          <w:p>
            <w:pPr>
              <w:spacing w:after="120" w:line="408" w:lineRule="auto"/>
            </w:pPr>
            <w:r>
              <w:t xml:space="preserve">“Don't worry, SCuBA. I can read your reports and turn them into something everyone understands.”</w:t>
            </w:r>
          </w:p>
        </w:tc>
      </w:tr>
    </w:tbl>
    <w:p>
      <w:pPr>
        <w:spacing w:after="24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8FAFD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4472C4"/>
                <w:sz w:val="22"/>
                <w:szCs w:val="22"/>
              </w:rPr>
              <w:t xml:space="preserve">Panel 3 — Normalization Chamber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trike w:val="false"/>
                <w:color w:val="000000"/>
                <w:sz w:val="22"/>
                <w:szCs w:val="22"/>
              </w:rPr>
              <w:t xml:space="preserve">The adapter feeds the messy papers into a glowing machine. Out the other side come clean, uniform cards labeled Canonical Claims.</w:t>
            </w:r>
          </w:p>
          <w:p>
            <w:pPr>
              <w:spacing w:after="120" w:line="408" w:lineRule="auto"/>
            </w:pPr>
            <w:r>
              <w:t xml:space="preserve">“Perfect! Now everything is consistent and vendor-neutral.”</w:t>
            </w:r>
          </w:p>
        </w:tc>
      </w:tr>
    </w:tbl>
    <w:p>
      <w:pPr>
        <w:spacing w:after="24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8FAFD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4472C4"/>
                <w:sz w:val="22"/>
                <w:szCs w:val="22"/>
              </w:rPr>
              <w:t xml:space="preserve">Panel 4 — Drift Detector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trike w:val="false"/>
                <w:color w:val="000000"/>
                <w:sz w:val="22"/>
                <w:szCs w:val="22"/>
              </w:rPr>
              <w:t xml:space="preserve">A radar screen lights up with red blips.</w:t>
            </w:r>
          </w:p>
          <w:p>
            <w:pPr>
              <w:spacing w:after="120" w:line="408" w:lineRule="auto"/>
            </w:pPr>
            <w:r>
              <w:t xml:space="preserve">“Uh-oh! Some settings don't match the baseline. I'll flag those as drift.”</w:t>
            </w:r>
          </w:p>
        </w:tc>
      </w:tr>
    </w:tbl>
    <w:p>
      <w:pPr>
        <w:spacing w:after="24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8FAFD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4472C4"/>
                <w:sz w:val="22"/>
                <w:szCs w:val="22"/>
              </w:rPr>
              <w:t xml:space="preserve">Panel 5 — KSI Evidence Linker Appears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trike w:val="false"/>
                <w:color w:val="000000"/>
                <w:sz w:val="22"/>
                <w:szCs w:val="22"/>
              </w:rPr>
              <w:t xml:space="preserve">A librarian-wizard character opens a giant spellbook labeled 163 KSI Rules.</w:t>
            </w:r>
          </w:p>
          <w:p>
            <w:pPr>
              <w:spacing w:after="120" w:line="408" w:lineRule="auto"/>
            </w:pPr>
            <w:r>
              <w:t xml:space="preserve">“Let me match these claims to the correct NIST controls.”</w:t>
            </w:r>
          </w:p>
        </w:tc>
      </w:tr>
    </w:tbl>
    <w:p>
      <w:pPr>
        <w:spacing w:after="24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8FAFD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4472C4"/>
                <w:sz w:val="22"/>
                <w:szCs w:val="22"/>
              </w:rPr>
              <w:t xml:space="preserve">Panel 6 — OSCAL Evidence Factory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trike w:val="false"/>
                <w:color w:val="000000"/>
                <w:sz w:val="22"/>
                <w:szCs w:val="22"/>
              </w:rPr>
              <w:t xml:space="preserve">The wizard and robot feed claims into a machine that stamps out official-looking OSCAL documents.</w:t>
            </w:r>
          </w:p>
          <w:p>
            <w:pPr>
              <w:spacing w:after="120" w:line="408" w:lineRule="auto"/>
            </w:pPr>
            <w:r>
              <w:t xml:space="preserve">“Behold! Audit-ready evidence!”</w:t>
            </w:r>
          </w:p>
        </w:tc>
      </w:tr>
    </w:tbl>
    <w:p>
      <w:pPr>
        <w:spacing w:after="24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8FAFD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4472C4"/>
                <w:sz w:val="22"/>
                <w:szCs w:val="22"/>
              </w:rPr>
              <w:t xml:space="preserve">Panel 7 — The Auditor Arrives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trike w:val="false"/>
                <w:color w:val="000000"/>
                <w:sz w:val="22"/>
                <w:szCs w:val="22"/>
              </w:rPr>
              <w:t xml:space="preserve">An auditor smiles, holding the OSCAL package.</w:t>
            </w:r>
          </w:p>
          <w:p>
            <w:pPr>
              <w:spacing w:after="120" w:line="408" w:lineRule="auto"/>
            </w:pPr>
            <w:r>
              <w:t xml:space="preserve">“This is perfect. Everything is traceable, consistent, and machine-verifiable.”</w:t>
            </w:r>
          </w:p>
        </w:tc>
      </w:tr>
    </w:tbl>
    <w:p>
      <w:pPr>
        <w:spacing w:after="24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8FAFD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4472C4"/>
                <w:sz w:val="22"/>
                <w:szCs w:val="22"/>
              </w:rPr>
              <w:t xml:space="preserve">Panel 8 — Final Shot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trike w:val="false"/>
                <w:color w:val="000000"/>
                <w:sz w:val="22"/>
                <w:szCs w:val="22"/>
              </w:rPr>
              <w:t xml:space="preserve">SCuBA, the Adapter, and the Evidence Linker pose heroically.</w:t>
            </w:r>
          </w:p>
          <w:p>
            <w:pPr>
              <w:spacing w:after="120" w:line="408" w:lineRule="auto"/>
            </w:pPr>
            <w:r>
              <w:t xml:space="preserve">“Together, they turn chaos into compliance.”</w:t>
            </w:r>
          </w:p>
        </w:tc>
      </w:tr>
    </w:tbl>
    <w:p>
      <w:pPr>
        <w:spacing w:after="240" w:before="0"/>
      </w:pPr>
    </w:p>
    <w:p>
      <w:pPr>
        <w:pBdr>
          <w:bottom w:val="single" w:color="000000" w:sz="6"/>
        </w:pBdr>
        <w:spacing w:after="240" w:before="240"/>
      </w:pP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4472C4"/>
          <w:sz w:val="48"/>
          <w:szCs w:val="48"/>
        </w:rPr>
        <w:t xml:space="preserve">5. Leadership-Facing One-Page Summary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8FAFD" w:color="auto" w:val="clear"/>
            <w:tcMar>
              <w:top w:type="dxa" w:w="270"/>
              <w:left w:type="dxa" w:w="300"/>
              <w:bottom w:type="dxa" w:w="270"/>
              <w:right w:type="dxa" w:w="300"/>
            </w:tcMar>
          </w:tcPr>
          <w:p>
            <w:pPr>
              <w:spacing w:after="240" w:line="36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4472C4"/>
                <w:sz w:val="22"/>
                <w:szCs w:val="22"/>
              </w:rPr>
              <w:t xml:space="preserve">UIAO SCuBA Integration — Executive Summary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UIAO now provides a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complete, automated pipeline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that transforms Microsoft's SCuBA security reports into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standardized, audit-ready OSCAL evidence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. This capability eliminates manual interpretation, reduces audit preparation time, and ensures consistent, machine-verifiable compliance across Microsoft 365 environments.</w:t>
            </w:r>
          </w:p>
          <w:p>
            <w:pPr>
              <w:pStyle w:val="Heading3"/>
              <w:spacing w:after="120" w:line="312" w:lineRule="auto"/>
            </w:pPr>
            <w:r>
              <w:rPr>
                <w:color w:val="4472C4"/>
              </w:rPr>
              <w:t xml:space="preserve">What This Enables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Automated ingestion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of SCuBA reports (JSON/YAML)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Normalization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into a universal format used across all UIAO adapters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Drift detection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against federal baselines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Automated mapping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to NIST 800-53 controls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Generation of OSCAL back-matter evidence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suitable for ATO and FedRAMP packages</w:t>
            </w:r>
          </w:p>
          <w:p>
            <w:pPr>
              <w:pStyle w:val="Heading3"/>
              <w:spacing w:after="120" w:line="312" w:lineRule="auto"/>
            </w:pPr>
            <w:r>
              <w:rPr>
                <w:color w:val="4472C4"/>
              </w:rPr>
              <w:t xml:space="preserve">Why It Matters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Agencies struggle with inconsistent vendor formats and manual evidence creation. UIAO solves this by providing: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single, deterministic truth fabric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Repeatable, automated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evidence generation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Reduced audit burden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Improved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accuracy and traceability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Support for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continuous monitoring</w:t>
            </w:r>
          </w:p>
          <w:p>
            <w:pPr>
              <w:pStyle w:val="Heading3"/>
              <w:spacing w:after="120" w:line="312" w:lineRule="auto"/>
            </w:pPr>
            <w:r>
              <w:rPr>
                <w:color w:val="4472C4"/>
              </w:rPr>
              <w:t xml:space="preserve">Strategic Impact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This integration demonstrates UIAO's ability to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unify multi-vendor security data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into a consistent, governance-aligned model. It establishes the foundation for additional adapters (AWS, GCP, Azure Policy, Defender for Cloud) and positions UIAO as a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cross-cloud compliance automation platform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.</w:t>
            </w:r>
          </w:p>
        </w:tc>
      </w:tr>
    </w:tbl>
    <w:p>
      <w:pPr>
        <w:spacing w:after="240" w:before="0"/>
      </w:pPr>
    </w:p>
    <w:p>
      <w:pPr>
        <w:pBdr>
          <w:bottom w:val="single" w:color="000000" w:sz="6"/>
        </w:pBdr>
        <w:spacing w:after="240" w:before="240"/>
      </w:pP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4472C4"/>
          <w:sz w:val="48"/>
          <w:szCs w:val="48"/>
        </w:rPr>
        <w:t xml:space="preserve">6. Technical Deep Dive for Engineers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4472C4"/>
          <w:sz w:val="36"/>
          <w:szCs w:val="36"/>
        </w:rPr>
        <w:t xml:space="preserve">Overview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SCuBA Adapter + KSI Evidence Linker form a complete ingestion-to-evidence pipeline inside UIAO Core. This section explains the internal mechanics, data structures, and lifecycle patterns.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4472C4"/>
          <w:sz w:val="36"/>
          <w:szCs w:val="36"/>
        </w:rPr>
        <w:t xml:space="preserve">Adapter Architecture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All UIAO adapters follow a strict lifecycle contract: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1%"/>
            <w:shd w:fill="D6E4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Method</w:t>
            </w:r>
          </w:p>
        </w:tc>
        <w:tc>
          <w:tcPr>
            <w:tcW w:type="pct" w:w="79%"/>
            <w:shd w:fill="D6E4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connect()</w:t>
            </w:r>
          </w:p>
        </w:tc>
        <w:tc>
          <w:tcPr>
            <w:tcW w:type="pct" w:w="7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Validates input, loads SCuBA JSON/YAML, ensures schema compatibility</w:t>
            </w:r>
          </w:p>
        </w:tc>
      </w:tr>
      <w:tr>
        <w:trPr>
          <w:tblHeader w:val="false"/>
        </w:trPr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discover_schema()</w:t>
            </w:r>
          </w:p>
        </w:tc>
        <w:tc>
          <w:tcPr>
            <w:tcW w:type="pct" w:w="7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Identifies product types (AAD, EXO, SPO, Teams, Defender), extracts policy IDs and metadata</w:t>
            </w:r>
          </w:p>
        </w:tc>
      </w:tr>
      <w:tr>
        <w:trPr>
          <w:tblHeader w:val="false"/>
        </w:trPr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execute_query()</w:t>
            </w:r>
          </w:p>
        </w:tc>
        <w:tc>
          <w:tcPr>
            <w:tcW w:type="pct" w:w="7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Reads SCuBA findings, normalizes vendor-specific fields</w:t>
            </w:r>
          </w:p>
        </w:tc>
      </w:tr>
      <w:tr>
        <w:trPr>
          <w:tblHeader w:val="false"/>
        </w:trPr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normalize()</w:t>
            </w:r>
          </w:p>
        </w:tc>
        <w:tc>
          <w:tcPr>
            <w:tcW w:type="pct" w:w="7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Converts SCuBA fields into canonical UIAO claim objects, ensures consistent naming, typing, and structure</w:t>
            </w:r>
          </w:p>
        </w:tc>
      </w:tr>
      <w:tr>
        <w:trPr>
          <w:tblHeader w:val="false"/>
        </w:trPr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detect_drift()</w:t>
            </w:r>
          </w:p>
        </w:tc>
        <w:tc>
          <w:tcPr>
            <w:tcW w:type="pct" w:w="7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Compares actual vs. expected values, emits drift signals with severity and rationale</w:t>
            </w:r>
          </w:p>
        </w:tc>
      </w:tr>
      <w:tr>
        <w:trPr>
          <w:tblHeader w:val="false"/>
        </w:trPr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collect_and_align()</w:t>
            </w:r>
          </w:p>
        </w:tc>
        <w:tc>
          <w:tcPr>
            <w:tcW w:type="pct" w:w="7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Aligns claims with the vendor overlay 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scuba.yaml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), ensures product-to-control mapping consistency</w:t>
            </w:r>
          </w:p>
        </w:tc>
      </w:tr>
      <w:tr>
        <w:trPr>
          <w:tblHeader w:val="false"/>
        </w:trPr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get_ksi_evidence()</w:t>
            </w:r>
          </w:p>
        </w:tc>
        <w:tc>
          <w:tcPr>
            <w:tcW w:type="pct" w:w="7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Prepares claims for the Evidence Linker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4472C4"/>
          <w:sz w:val="36"/>
          <w:szCs w:val="36"/>
        </w:rPr>
        <w:t xml:space="preserve">Canonical Claim Format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Each normalized claim includes the following fields: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7%"/>
            <w:shd w:fill="D6E4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Field</w:t>
            </w:r>
          </w:p>
        </w:tc>
        <w:tc>
          <w:tcPr>
            <w:tcW w:type="pct" w:w="73%"/>
            <w:shd w:fill="D6E4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policy_id</w:t>
            </w:r>
          </w:p>
        </w:tc>
        <w:tc>
          <w:tcPr>
            <w:tcW w:type="pct" w:w="7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Unique identifier for the policy being evaluated</w:t>
            </w:r>
          </w:p>
        </w:tc>
      </w:tr>
      <w:tr>
        <w:trPr>
          <w:tblHeader w:val="false"/>
        </w:trPr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product</w:t>
            </w:r>
          </w:p>
        </w:tc>
        <w:tc>
          <w:tcPr>
            <w:tcW w:type="pct" w:w="7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M365 product (AAD, EXO, SPO, Teams, Defender)</w:t>
            </w:r>
          </w:p>
        </w:tc>
      </w:tr>
      <w:tr>
        <w:trPr>
          <w:tblHeader w:val="false"/>
        </w:trPr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expected_value</w:t>
            </w:r>
          </w:p>
        </w:tc>
        <w:tc>
          <w:tcPr>
            <w:tcW w:type="pct" w:w="7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Baseline-expected configuration value</w:t>
            </w:r>
          </w:p>
        </w:tc>
      </w:tr>
      <w:tr>
        <w:trPr>
          <w:tblHeader w:val="false"/>
        </w:trPr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actual_value</w:t>
            </w:r>
          </w:p>
        </w:tc>
        <w:tc>
          <w:tcPr>
            <w:tcW w:type="pct" w:w="7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Value observed in the SCuBA report</w:t>
            </w:r>
          </w:p>
        </w:tc>
      </w:tr>
      <w:tr>
        <w:trPr>
          <w:tblHeader w:val="false"/>
        </w:trPr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status</w:t>
            </w:r>
          </w:p>
        </w:tc>
        <w:tc>
          <w:tcPr>
            <w:tcW w:type="pct" w:w="7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Pass, fail, or warning</w:t>
            </w:r>
          </w:p>
        </w:tc>
      </w:tr>
      <w:tr>
        <w:trPr>
          <w:tblHeader w:val="false"/>
        </w:trPr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nist_controls</w:t>
            </w:r>
          </w:p>
        </w:tc>
        <w:tc>
          <w:tcPr>
            <w:tcW w:type="pct" w:w="7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Mapped NIST 800-53 control identifiers</w:t>
            </w:r>
          </w:p>
        </w:tc>
      </w:tr>
      <w:tr>
        <w:trPr>
          <w:tblHeader w:val="false"/>
        </w:trPr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evidence_source</w:t>
            </w:r>
          </w:p>
        </w:tc>
        <w:tc>
          <w:tcPr>
            <w:tcW w:type="pct" w:w="7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Provenance of the data (adapter + report reference)</w:t>
            </w:r>
          </w:p>
        </w:tc>
      </w:tr>
      <w:tr>
        <w:trPr>
          <w:tblHeader w:val="false"/>
        </w:trPr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drift_detected</w:t>
            </w:r>
          </w:p>
        </w:tc>
        <w:tc>
          <w:tcPr>
            <w:tcW w:type="pct" w:w="7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Boolean flag indicating configuration drift</w:t>
            </w:r>
          </w:p>
        </w:tc>
      </w:tr>
    </w:tbl>
    <w:p>
      <w:pPr>
        <w:spacing w:after="200" w:before="0"/>
      </w:pP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This format is shared across all UIAO adapters.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4472C4"/>
          <w:sz w:val="36"/>
          <w:szCs w:val="36"/>
        </w:rPr>
        <w:t xml:space="preserve">KSI Evidence Linker Internals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linker operates through the following sequence: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t xml:space="preserve">Loads all </w:t>
      </w:r>
      <w:r>
        <w:rPr>
          <w:b/>
          <w:bCs/>
          <w:color w:val="000000"/>
        </w:rPr>
        <w:t xml:space="preserve">163 KSI YAML rules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t xml:space="preserve">Converts each into a </w:t>
      </w:r>
      <w:r>
        <w:rPr>
          <w:color w:val="000000"/>
        </w:rPr>
        <w:t xml:space="preserve">KsiRule</w:t>
      </w:r>
      <w:r>
        <w:t xml:space="preserve"> object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t xml:space="preserve">Matches claims to rules based on: </w:t>
      </w:r>
      <w:r>
        <w:rPr>
          <w:color w:val="000000"/>
        </w:rPr>
        <w:t xml:space="preserve">policy ID</w:t>
      </w:r>
      <w:r>
        <w:t xml:space="preserve">, </w:t>
      </w:r>
      <w:r>
        <w:rPr>
          <w:color w:val="000000"/>
        </w:rPr>
        <w:t xml:space="preserve">product</w:t>
      </w:r>
      <w:r>
        <w:t xml:space="preserve">, </w:t>
      </w:r>
      <w:r>
        <w:rPr>
          <w:color w:val="000000"/>
        </w:rPr>
        <w:t xml:space="preserve">control family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t xml:space="preserve">Produces </w:t>
      </w:r>
      <w:r>
        <w:rPr>
          <w:color w:val="000000"/>
        </w:rPr>
        <w:t xml:space="preserve">EvidenceArtifact</w:t>
      </w:r>
      <w:r>
        <w:t xml:space="preserve"> objects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t xml:space="preserve">Delegates to </w:t>
      </w:r>
      <w:r>
        <w:rPr>
          <w:color w:val="000000"/>
        </w:rPr>
        <w:t xml:space="preserve">EvidenceLinker</w:t>
      </w:r>
      <w:r>
        <w:t xml:space="preserve"> to generate:</w:t>
      </w:r>
    </w:p>
    <w:p>
      <w:pPr>
        <w:pStyle w:val="ListParagraph"/>
        <w:numPr>
          <w:ilvl w:val="1"/>
          <w:numId w:val="1"/>
        </w:numPr>
        <w:spacing w:after="60" w:line="408" w:lineRule="auto"/>
        <w:ind w:left="1440" w:hanging="360"/>
      </w:pPr>
      <w:r>
        <w:t xml:space="preserve">OSCAL </w:t>
      </w:r>
      <w:r>
        <w:rPr>
          <w:color w:val="000000"/>
        </w:rPr>
        <w:t xml:space="preserve">back-matter.resources</w:t>
      </w:r>
    </w:p>
    <w:p>
      <w:pPr>
        <w:pStyle w:val="ListParagraph"/>
        <w:numPr>
          <w:ilvl w:val="1"/>
          <w:numId w:val="1"/>
        </w:numPr>
        <w:spacing w:after="60" w:line="408" w:lineRule="auto"/>
        <w:ind w:left="1440" w:hanging="360"/>
      </w:pPr>
      <w:r>
        <w:t xml:space="preserve">Control-implementation mappings</w:t>
      </w:r>
    </w:p>
    <w:p>
      <w:pPr>
        <w:pStyle w:val="ListParagraph"/>
        <w:numPr>
          <w:ilvl w:val="1"/>
          <w:numId w:val="1"/>
        </w:numPr>
        <w:spacing w:after="60" w:line="408" w:lineRule="auto"/>
        <w:ind w:left="1440" w:hanging="360"/>
      </w:pPr>
      <w:r>
        <w:t xml:space="preserve">SSP injection blocks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Artifacts include: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UUIDs, media type, provenance, claim references, and timestamps.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4472C4"/>
          <w:sz w:val="36"/>
          <w:szCs w:val="36"/>
        </w:rPr>
        <w:t xml:space="preserve">OSCAL Output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final OSCAL output includes: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Evidence resources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Control mappings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Component definitions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SSP-ready text blocks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Drift summaries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All outputs are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deterministic and reproducible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4472C4"/>
          <w:sz w:val="36"/>
          <w:szCs w:val="36"/>
        </w:rPr>
        <w:t xml:space="preserve">Testing and CI Integration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D6E4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Metric</w:t>
            </w:r>
          </w:p>
        </w:tc>
        <w:tc>
          <w:tcPr>
            <w:tcW w:type="pct" w:w="78%"/>
            <w:shd w:fill="D6E4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Total Tests</w:t>
            </w:r>
          </w:p>
        </w:tc>
        <w:tc>
          <w:tcPr>
            <w:tcW w:type="pct" w:w="7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17 tests across 6 classes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Coverage Areas</w:t>
            </w:r>
          </w:p>
        </w:tc>
        <w:tc>
          <w:tcPr>
            <w:tcW w:type="pct" w:w="7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Schema validation, drift detection, evidence generation, CLI integration</w:t>
            </w:r>
          </w:p>
        </w:tc>
      </w:tr>
    </w:tbl>
    <w:p>
      <w:pPr>
        <w:spacing w:after="200" w:before="0"/>
      </w:pP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CI ensures: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No lint errors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No unused variables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No type errors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No drift in expected outputs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EDF2F9" w:color="auto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6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4472C4"/>
                <w:sz w:val="22"/>
                <w:szCs w:val="22"/>
              </w:rPr>
              <w:t xml:space="preserve">Governance Guarantee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Every commit is validated against the full test suite. The pipeline enforces a zero-drift, zero-ambiguity standard — ensuring that OSCAL evidence output remains deterministic across all runs.</w:t>
            </w:r>
          </w:p>
        </w:tc>
      </w:tr>
    </w:tbl>
    <w:p>
      <w:pPr>
        <w:spacing w:after="240" w:before="0"/>
      </w:pPr>
    </w:p>
    <w:p>
      <w:pPr>
        <w:pBdr>
          <w:bottom w:val="single" w:color="000000" w:sz="6"/>
        </w:pBdr>
        <w:spacing w:after="240" w:before="240"/>
      </w:pPr>
    </w:p>
    <w:p>
      <w:pPr>
        <w:spacing w:after="120" w:before="6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999999"/>
          <w:sz w:val="22"/>
          <w:szCs w:val="22"/>
        </w:rPr>
        <w:t xml:space="preserve">UIAO Core Ingestion and Evidence Pipeline — Complete Deliverables Package  |  April 2026  |  Confidential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5">
    <w:name w:val="Heading 5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rFonts w:ascii="Arial" w:cs="Arial" w:eastAsia="Arial" w:hAnsi="Arial"/>
      <w:b/>
      <w:bCs/>
      <w:color w:val="000000"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03da5c9aef76c870bdeced5d23a56726e34c82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11YT5f5wyvTKLTLccaJoP</dc:title>
  <dc:creator>Un-named</dc:creator>
  <dc:description>Generated document</dc:description>
  <cp:lastModifiedBy>Un-named</cp:lastModifiedBy>
  <cp:revision>1</cp:revision>
  <dcterms:created xsi:type="dcterms:W3CDTF">2026-04-07T13:00:53.220Z</dcterms:created>
  <dcterms:modified xsi:type="dcterms:W3CDTF">2026-04-07T13:00:53.220Z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