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uiao_document_report_user_s_guide"/>
      <w:r>
        <w:rPr>
          <w:rFonts w:eastAsia="Georgia" w:cs="Georgia" w:ascii="Georgia" w:hAnsi="Georgia"/>
          <w:b/>
          <w:sz w:val="56"/>
        </w:rPr>
        <w:t xml:space="preserve">UIAO‑Document‑Report — User’s Guide</w:t>
      </w:r>
      <w:bookmarkEnd w:id="0"/>
    </w:p>
    <w:p>
      <w:pPr>
        <w:spacing w:line="271" w:before="240" w:lineRule="auto"/>
      </w:pPr>
      <w:bookmarkStart w:id="1" w:name="chapter_4_analysis_workflow"/>
      <w:r>
        <w:rPr>
          <w:rFonts w:eastAsia="Georgia" w:cs="Georgia" w:ascii="Georgia" w:hAnsi="Georgia"/>
          <w:b/>
          <w:sz w:val="42"/>
        </w:rPr>
        <w:t xml:space="preserve">Chapter 4 — Analysis Workflow</w:t>
      </w:r>
      <w:bookmarkEnd w:id="1"/>
    </w:p>
    <w:p>
      <w:pPr>
        <w:spacing w:after="210" w:lineRule="auto"/>
      </w:pPr>
      <w:r>
        <w:rPr>
          <w:rFonts w:eastAsia="Georgia" w:cs="Georgia" w:ascii="Georgia" w:hAnsi="Georgia"/>
        </w:rPr>
        <w:t xml:space="preserve">This chapter explains how UIAO‑Document‑Report performs its analysis, how each stage interacts with the repository, and how the tool produces deterministic, repeatable results. The workflow is intentionally modular, allowing each component to operate independently while contributing to a unified reporting pipeline.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mage_4_1_high_level_analysis_workflow"/>
      <w:r>
        <w:rPr>
          <w:rFonts w:eastAsia="Georgia" w:cs="Georgia" w:ascii="Georgia" w:hAnsi="Georgia"/>
          <w:b/>
          <w:sz w:val="33"/>
        </w:rPr>
        <w:t xml:space="preserve">Image 4‑1 — High‑Level Analysis Workflow</w:t>
      </w:r>
      <w:bookmarkEnd w:id="2"/>
    </w:p>
    <w:p>
      <w:pPr>
        <w:spacing w:lineRule="auto"/>
        <w:jc w:val="center"/>
      </w:pPr>
      <w:r>
        <w:rPr/>
        <w:drawing>
          <wp:inline distB="0" distL="0" distR="0" distT="0">
            <wp:extent cx="5518150" cy="5998539"/>
            <wp:effectExtent b="0" l="0" r="0" t="0"/>
            <wp:docPr id="1" name="image-e3483b7f656d3c992c2cc928a8fb62d9de2d8497.png" descr="Image 4-1: High-Level Analysis Workflow"/>
            <a:graphic>
              <a:graphicData uri="http://schemas.openxmlformats.org/drawingml/2006/picture">
                <pic:pic>
                  <pic:nvPicPr>
                    <pic:cNvPr id="1" name="image-e3483b7f656d3c992c2cc928a8fb62d9de2d8497.png" descr="Image 4-1: High-Level Analysis Workflow"/>
                    <pic:cNvPicPr/>
                  </pic:nvPicPr>
                  <pic:blipFill>
                    <a:blip r:embed="rId5" cstate="print"/>
                    <a:srcRect b="0" l="0" r="0" t="0"/>
                    <a:stretch>
                      <a:fillRect/>
                    </a:stretch>
                  </pic:blipFill>
                  <pic:spPr>
                    <a:xfrm>
                      <a:off x="0" y="0"/>
                      <a:ext cx="5518150" cy="5998539"/>
                    </a:xfrm>
                    <a:prstGeom prst="rect"/>
                  </pic:spPr>
                </pic:pic>
              </a:graphicData>
            </a:graphic>
          </wp:inline>
        </w:drawing>
      </w:r>
    </w:p>
    <w:p>
      <w:pPr>
        <w:spacing w:after="210" w:lineRule="auto"/>
      </w:pPr>
      <w:r>
        <w:rPr>
          <w:i/>
        </w:rPr>
        <w:t xml:space="preserve">Image 4-1: High-Level Analysis Workflow</w:t>
      </w:r>
    </w:p>
    <w:p>
      <w:pPr>
        <w:pStyle w:val="SourceCode"/>
        <w:shd w:val="clear" w:fill="F8F8FA"/>
        <w:spacing w:lineRule="auto"/>
      </w:pPr>
      <w:r>
        <w:rPr>
          <w:rStyle w:val="VerbatimChar"/>
          <w:rFonts w:eastAsia="menlo" w:cs="menlo" w:ascii="menlo" w:hAnsi="menlo"/>
        </w:rPr>
        <w:t xml:space="preserve">@startuml</w:t>
        <w:br/>
        <w:t xml:space="preserve">skinparam backgroundColor white</w:t>
        <w:br/>
        <w:t xml:space="preserve">skinparam componentStyle rectangle</w:t>
        <w:br/>
        <w:t xml:space="preserve">title UIAO-Document-Report: High-Level Analysis Workflow</w:t>
        <w:br/>
        <w:t xml:space="preserve"/>
        <w:br/>
        <w:t xml:space="preserve">actor "Operator or Pipeline" as OP</w:t>
        <w:br/>
        <w:t xml:space="preserve"/>
        <w:br/>
        <w:t xml:space="preserve">package "Execution Layer" {</w:t>
        <w:br/>
        <w:t xml:space="preserve">    [Start Analysis] as SA</w:t>
        <w:br/>
        <w:t xml:space="preserve">    [Load Configuration] as LC</w:t>
        <w:br/>
        <w:t xml:space="preserve">    [Initialize Scanner] as IS</w:t>
        <w:br/>
        <w:t xml:space="preserve">}</w:t>
        <w:br/>
        <w:t xml:space="preserve"/>
        <w:br/>
        <w:t xml:space="preserve">package "Analysis Engine" {</w:t>
        <w:br/>
        <w:t xml:space="preserve">    [Scan Repository] as SR</w:t>
        <w:br/>
        <w:t xml:space="preserve">    [Run Structural Validation] as SV</w:t>
        <w:br/>
        <w:t xml:space="preserve">    [Run Drift Detection] as DD</w:t>
        <w:br/>
        <w:t xml:space="preserve">    [Run Freshness Analysis] as FA</w:t>
        <w:br/>
        <w:t xml:space="preserve">    [Run Adapter Coverage] as AC</w:t>
        <w:br/>
        <w:t xml:space="preserve">}</w:t>
        <w:br/>
        <w:t xml:space="preserve"/>
        <w:br/>
        <w:t xml:space="preserve">package "Report Generation" {</w:t>
        <w:br/>
        <w:t xml:space="preserve">    [Aggregate Results] as AR</w:t>
        <w:br/>
        <w:t xml:space="preserve">    [Compute Compliance Score] as CS</w:t>
        <w:br/>
        <w:t xml:space="preserve">    [Generate Output Files] as GO</w:t>
        <w:br/>
        <w:t xml:space="preserve">}</w:t>
        <w:br/>
        <w:t xml:space="preserve"/>
        <w:br/>
        <w:t xml:space="preserve">OP --&gt; SA</w:t>
        <w:br/>
        <w:t xml:space="preserve">SA --&gt; LC</w:t>
        <w:br/>
        <w:t xml:space="preserve">LC --&gt; IS</w:t>
        <w:br/>
        <w:t xml:space="preserve">IS --&gt; SR</w:t>
        <w:br/>
        <w:t xml:space="preserve">SR --&gt; SV</w:t>
        <w:br/>
        <w:t xml:space="preserve">SR --&gt; DD</w:t>
        <w:br/>
        <w:t xml:space="preserve">SR --&gt; FA</w:t>
        <w:br/>
        <w:t xml:space="preserve">SR --&gt; AC</w:t>
        <w:br/>
        <w:t xml:space="preserve"/>
        <w:br/>
        <w:t xml:space="preserve">SV --&gt; AR</w:t>
        <w:br/>
        <w:t xml:space="preserve">DD --&gt; AR</w:t>
        <w:br/>
        <w:t xml:space="preserve">FA --&gt; AR</w:t>
        <w:br/>
        <w:t xml:space="preserve">AC --&gt; AR</w:t>
        <w:br/>
        <w:t xml:space="preserve"/>
        <w:br/>
        <w:t xml:space="preserve">AR --&gt; CS</w:t>
        <w:br/>
        <w:t xml:space="preserve">CS --&gt; GO</w:t>
        <w:br/>
        <w:t xml:space="preserve"/>
        <w:br/>
        <w:t xml:space="preserve">caption Image 4-1: High-Level Analysis Workflow</w:t>
        <w:br/>
        <w:t xml:space="preserve">@enduml</w:t>
        <w:br/>
        <w:t xml:space="preserve"/>
        <w:br/>
        <w:t xml:space="preserve">---</w:t>
        <w:br/>
        <w:t xml:space="preserve"/>
        <w:br/>
        <w:t xml:space="preserve">&gt; **Source Code Reference:** Python objects for this chapter are defined in `src/uiao_document_report/workflow.py`.</w:t>
        <w:br/>
        <w:t xml:space="preserve"/>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3483b7f656d3c992c2cc928a8fb62d9de2d8497.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2026-04-02T23:38:11.446Z</dcterms:created>
  <dcterms:modified xsi:type="dcterms:W3CDTF">2026-04-02T23:38:11.446Z</dcterms:modified>
</cp:coreProperties>
</file>