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before="160" w:line="312" w:lineRule="auto"/>
      </w:pPr>
      <w:r>
        <w:rPr>
          <w:rFonts w:ascii="Calibri" w:cs="Calibri" w:eastAsia="Calibri" w:hAnsi="Calibri"/>
          <w:color w:val="1A1A1A"/>
          <w:sz w:val="48"/>
          <w:szCs w:val="48"/>
        </w:rPr>
        <w:t xml:space="preserve">UIAO Git Infrastructure</w:t>
      </w:r>
    </w:p>
    <w:p>
      <w:pPr>
        <w:spacing w:after="120" w:line="360" w:lineRule="auto"/>
      </w:pPr>
      <w:r>
        <w:rPr>
          <w:rFonts w:ascii="Calibri" w:cs="Calibri" w:eastAsia="Calibri" w:hAnsi="Calibri"/>
          <w:b/>
          <w:bCs/>
          <w:i w:val="false"/>
          <w:iCs w:val="false"/>
          <w:strike w:val="false"/>
          <w:color w:val="000000"/>
          <w:sz w:val="22"/>
          <w:szCs w:val="22"/>
        </w:rPr>
        <w:t xml:space="preserve">Architecture Decision Record — ADR-001</w:t>
      </w:r>
    </w:p>
    <w:p>
      <w:pPr>
        <w:spacing w:after="60" w:line="360" w:lineRule="auto"/>
      </w:pPr>
      <w:r>
        <w:rPr>
          <w:rFonts w:ascii="Calibri" w:cs="Calibri" w:eastAsia="Calibri" w:hAnsi="Calibri"/>
          <w:b/>
          <w:bCs/>
          <w:i w:val="false"/>
          <w:iCs w:val="false"/>
          <w:strike w:val="false"/>
          <w:color w:val="000000"/>
          <w:sz w:val="22"/>
          <w:szCs w:val="22"/>
        </w:rPr>
        <w:t xml:space="preserve">Repository:</w:t>
      </w:r>
      <w:r>
        <w:rPr>
          <w:rFonts w:ascii="Calibri" w:cs="Calibri" w:eastAsia="Calibri" w:hAnsi="Calibri"/>
          <w:b w:val="false"/>
          <w:bCs w:val="false"/>
          <w:i w:val="false"/>
          <w:iCs w:val="false"/>
          <w:strike w:val="false"/>
          <w:color w:val="000000"/>
          <w:sz w:val="22"/>
          <w:szCs w:val="22"/>
        </w:rPr>
        <w:t xml:space="preserve"> github.com/WhalerMike/uiao</w:t>
      </w:r>
    </w:p>
    <w:p>
      <w:pPr>
        <w:spacing w:after="60" w:line="360" w:lineRule="auto"/>
      </w:pPr>
      <w:r>
        <w:rPr>
          <w:rFonts w:ascii="Calibri" w:cs="Calibri" w:eastAsia="Calibri" w:hAnsi="Calibri"/>
          <w:b/>
          <w:bCs/>
          <w:i w:val="false"/>
          <w:iCs w:val="false"/>
          <w:strike w:val="false"/>
          <w:color w:val="000000"/>
          <w:sz w:val="22"/>
          <w:szCs w:val="22"/>
        </w:rPr>
        <w:t xml:space="preserve">Author:</w:t>
      </w:r>
      <w:r>
        <w:rPr>
          <w:rFonts w:ascii="Calibri" w:cs="Calibri" w:eastAsia="Calibri" w:hAnsi="Calibri"/>
          <w:b w:val="false"/>
          <w:bCs w:val="false"/>
          <w:i w:val="false"/>
          <w:iCs w:val="false"/>
          <w:strike w:val="false"/>
          <w:color w:val="000000"/>
          <w:sz w:val="22"/>
          <w:szCs w:val="22"/>
        </w:rPr>
        <w:t xml:space="preserve"> Michael Stratton, Canon Steward</w:t>
      </w:r>
    </w:p>
    <w:p>
      <w:pPr>
        <w:spacing w:after="60" w:line="360" w:lineRule="auto"/>
      </w:pPr>
      <w:r>
        <w:rPr>
          <w:rFonts w:ascii="Calibri" w:cs="Calibri" w:eastAsia="Calibri" w:hAnsi="Calibri"/>
          <w:b/>
          <w:bCs/>
          <w:i w:val="false"/>
          <w:iCs w:val="false"/>
          <w:strike w:val="false"/>
          <w:color w:val="000000"/>
          <w:sz w:val="22"/>
          <w:szCs w:val="22"/>
        </w:rPr>
        <w:t xml:space="preserve">Date:</w:t>
      </w:r>
      <w:r>
        <w:rPr>
          <w:rFonts w:ascii="Calibri" w:cs="Calibri" w:eastAsia="Calibri" w:hAnsi="Calibri"/>
          <w:b w:val="false"/>
          <w:bCs w:val="false"/>
          <w:i w:val="false"/>
          <w:iCs w:val="false"/>
          <w:strike w:val="false"/>
          <w:color w:val="000000"/>
          <w:sz w:val="22"/>
          <w:szCs w:val="22"/>
        </w:rPr>
        <w:t xml:space="preserve"> April 20, 2026</w:t>
      </w:r>
    </w:p>
    <w:p>
      <w:pPr>
        <w:spacing w:after="60" w:line="360" w:lineRule="auto"/>
      </w:pPr>
      <w:r>
        <w:rPr>
          <w:rFonts w:ascii="Calibri" w:cs="Calibri" w:eastAsia="Calibri" w:hAnsi="Calibri"/>
          <w:b/>
          <w:bCs/>
          <w:i w:val="false"/>
          <w:iCs w:val="false"/>
          <w:strike w:val="false"/>
          <w:color w:val="000000"/>
          <w:sz w:val="22"/>
          <w:szCs w:val="22"/>
        </w:rPr>
        <w:t xml:space="preserve">Version:</w:t>
      </w:r>
      <w:r>
        <w:rPr>
          <w:rFonts w:ascii="Calibri" w:cs="Calibri" w:eastAsia="Calibri" w:hAnsi="Calibri"/>
          <w:b w:val="false"/>
          <w:bCs w:val="false"/>
          <w:i w:val="false"/>
          <w:iCs w:val="false"/>
          <w:strike w:val="false"/>
          <w:color w:val="000000"/>
          <w:sz w:val="22"/>
          <w:szCs w:val="22"/>
        </w:rPr>
        <w:t xml:space="preserve"> 1.0 — PROPOSED</w:t>
      </w:r>
    </w:p>
    <w:p>
      <w:pPr>
        <w:spacing w:after="60" w:line="360" w:lineRule="auto"/>
      </w:pPr>
      <w:r>
        <w:rPr>
          <w:rFonts w:ascii="Calibri" w:cs="Calibri" w:eastAsia="Calibri" w:hAnsi="Calibri"/>
          <w:b/>
          <w:bCs/>
          <w:i w:val="false"/>
          <w:iCs w:val="false"/>
          <w:strike w:val="false"/>
          <w:color w:val="000000"/>
          <w:sz w:val="22"/>
          <w:szCs w:val="22"/>
        </w:rPr>
        <w:t xml:space="preserve">Classification:</w:t>
      </w:r>
      <w:r>
        <w:rPr>
          <w:rFonts w:ascii="Calibri" w:cs="Calibri" w:eastAsia="Calibri" w:hAnsi="Calibri"/>
          <w:b w:val="false"/>
          <w:bCs w:val="false"/>
          <w:i w:val="false"/>
          <w:iCs w:val="false"/>
          <w:strike w:val="false"/>
          <w:color w:val="000000"/>
          <w:sz w:val="22"/>
          <w:szCs w:val="22"/>
        </w:rPr>
        <w:t xml:space="preserve"> Internal — Architecture Decision</w:t>
      </w:r>
    </w:p>
    <w:p>
      <w:pPr>
        <w:spacing w:after="60" w:line="360" w:lineRule="auto"/>
      </w:pPr>
      <w:r>
        <w:rPr>
          <w:rFonts w:ascii="Calibri" w:cs="Calibri" w:eastAsia="Calibri" w:hAnsi="Calibri"/>
          <w:b/>
          <w:bCs/>
          <w:i w:val="false"/>
          <w:iCs w:val="false"/>
          <w:strike w:val="false"/>
          <w:color w:val="000000"/>
          <w:sz w:val="22"/>
          <w:szCs w:val="22"/>
        </w:rPr>
        <w:t xml:space="preserve">Boundary:</w:t>
      </w:r>
      <w:r>
        <w:rPr>
          <w:rFonts w:ascii="Calibri" w:cs="Calibri" w:eastAsia="Calibri" w:hAnsi="Calibri"/>
          <w:b w:val="false"/>
          <w:bCs w:val="false"/>
          <w:i w:val="false"/>
          <w:iCs w:val="false"/>
          <w:strike w:val="false"/>
          <w:color w:val="000000"/>
          <w:sz w:val="22"/>
          <w:szCs w:val="22"/>
        </w:rPr>
        <w:t xml:space="preserve"> GCC-Moderate (M365 SaaS only — no Azure PaaS/IaaS)</w:t>
      </w:r>
    </w:p>
    <w:p>
      <w:pPr>
        <w:spacing w:after="60" w:line="360" w:lineRule="auto"/>
      </w:pPr>
      <w:r>
        <w:rPr>
          <w:rFonts w:ascii="Calibri" w:cs="Calibri" w:eastAsia="Calibri" w:hAnsi="Calibri"/>
          <w:b/>
          <w:bCs/>
          <w:i w:val="false"/>
          <w:iCs w:val="false"/>
          <w:strike w:val="false"/>
          <w:color w:val="000000"/>
          <w:sz w:val="22"/>
          <w:szCs w:val="22"/>
        </w:rPr>
        <w:t xml:space="preserve">Target Environment:</w:t>
      </w:r>
      <w:r>
        <w:rPr>
          <w:rFonts w:ascii="Calibri" w:cs="Calibri" w:eastAsia="Calibri" w:hAnsi="Calibri"/>
          <w:b w:val="false"/>
          <w:bCs w:val="false"/>
          <w:i w:val="false"/>
          <w:iCs w:val="false"/>
          <w:strike w:val="false"/>
          <w:color w:val="000000"/>
          <w:sz w:val="22"/>
          <w:szCs w:val="22"/>
        </w:rPr>
        <w:t xml:space="preserve"> Windows Server 2025 with IIS</w:t>
      </w:r>
    </w:p>
    <w:p>
      <w:pPr>
        <w:pStyle w:val="Heading1"/>
        <w:spacing w:after="120" w:before="480" w:line="312" w:lineRule="auto"/>
      </w:pPr>
      <w:r>
        <w:rPr>
          <w:rFonts w:ascii="Calibri" w:cs="Calibri" w:eastAsia="Calibri" w:hAnsi="Calibri"/>
          <w:color w:val="1A1A1A"/>
          <w:sz w:val="48"/>
          <w:szCs w:val="48"/>
        </w:rPr>
        <w:t xml:space="preserve">1. Decision Summary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FF4E0" w:color="auto" w:val="clear"/>
            <w:tcMar>
              <w:top w:type="dxa" w:w="180"/>
              <w:left w:type="dxa" w:w="180"/>
              <w:bottom w:type="dxa" w:w="180"/>
              <w:right w:type="dxa" w:w="180"/>
            </w:tcMar>
          </w:tcPr>
          <w:p>
            <w:pPr>
              <w:spacing w:after="120" w:line="408" w:lineRule="auto"/>
            </w:pPr>
            <w:r>
              <w:rPr>
                <w:b/>
                <w:bCs/>
                <w:i w:val="false"/>
                <w:iCs w:val="false"/>
                <w:color w:val="000000"/>
              </w:rPr>
              <w:t xml:space="preserve">VERDICT</w:t>
            </w:r>
          </w:p>
          <w:p>
            <w:pPr>
              <w:spacing w:after="120" w:line="360" w:lineRule="auto"/>
            </w:pPr>
            <w:r>
              <w:rPr>
                <w:rFonts w:ascii="Calibri" w:cs="Calibri" w:eastAsia="Calibri" w:hAnsi="Calibri"/>
                <w:b w:val="false"/>
                <w:bCs w:val="false"/>
                <w:i w:val="false"/>
                <w:iCs w:val="false"/>
                <w:strike w:val="false"/>
                <w:color w:val="000000"/>
                <w:sz w:val="22"/>
                <w:szCs w:val="22"/>
              </w:rPr>
              <w:t xml:space="preserve">IIS + git-http-backend is </w:t>
            </w:r>
            <w:r>
              <w:rPr>
                <w:rFonts w:ascii="Calibri" w:cs="Calibri" w:eastAsia="Calibri" w:hAnsi="Calibri"/>
                <w:b/>
                <w:bCs/>
                <w:i w:val="false"/>
                <w:iCs w:val="false"/>
                <w:strike w:val="false"/>
                <w:color w:val="000000"/>
                <w:sz w:val="22"/>
                <w:szCs w:val="22"/>
              </w:rPr>
              <w:t xml:space="preserve">necessary but insufficient</w:t>
            </w:r>
            <w:r>
              <w:rPr>
                <w:rFonts w:ascii="Calibri" w:cs="Calibri" w:eastAsia="Calibri" w:hAnsi="Calibri"/>
                <w:b w:val="false"/>
                <w:bCs w:val="false"/>
                <w:i w:val="false"/>
                <w:iCs w:val="false"/>
                <w:strike w:val="false"/>
                <w:color w:val="000000"/>
                <w:sz w:val="22"/>
                <w:szCs w:val="22"/>
              </w:rPr>
              <w:t xml:space="preserve"> for the full UIAO governance vision. The recommended architecture is </w:t>
            </w:r>
            <w:r>
              <w:rPr>
                <w:rFonts w:ascii="Calibri" w:cs="Calibri" w:eastAsia="Calibri" w:hAnsi="Calibri"/>
                <w:b/>
                <w:bCs/>
                <w:i w:val="false"/>
                <w:iCs w:val="false"/>
                <w:strike w:val="false"/>
                <w:color w:val="000000"/>
                <w:sz w:val="22"/>
                <w:szCs w:val="22"/>
              </w:rPr>
              <w:t xml:space="preserve">Gitea on Windows Server 2025 behind IIS reverse proxy</w:t>
            </w:r>
            <w:r>
              <w:rPr>
                <w:rFonts w:ascii="Calibri" w:cs="Calibri" w:eastAsia="Calibri" w:hAnsi="Calibri"/>
                <w:b w:val="false"/>
                <w:bCs w:val="false"/>
                <w:i w:val="false"/>
                <w:iCs w:val="false"/>
                <w:strike w:val="false"/>
                <w:color w:val="000000"/>
                <w:sz w:val="22"/>
                <w:szCs w:val="22"/>
              </w:rPr>
              <w:t xml:space="preserve"> — retaining IIS as the TLS/security layer while adding the REST API, webhook, and authentication surface that UIAO governance automation requires.</w:t>
            </w:r>
          </w:p>
        </w:tc>
      </w:tr>
    </w:tbl>
    <w:p>
      <w:pPr>
        <w:spacing w:after="24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question was direct: </w:t>
      </w:r>
      <w:r>
        <w:rPr>
          <w:rFonts w:ascii="Calibri" w:cs="Calibri" w:eastAsia="Calibri" w:hAnsi="Calibri"/>
          <w:b w:val="false"/>
          <w:bCs w:val="false"/>
          <w:i/>
          <w:iCs/>
          <w:strike w:val="false"/>
          <w:color w:val="000000"/>
          <w:sz w:val="22"/>
          <w:szCs w:val="22"/>
        </w:rPr>
        <w:t xml:space="preserve">Is IIS Git the proper hosting to achieve API access to code, CLI operations, Active Directory integration, Entra ID integration, Intune policy automation, and Azure Arc server governance?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answer is equally direct: </w:t>
      </w:r>
      <w:r>
        <w:rPr>
          <w:rFonts w:ascii="Calibri" w:cs="Calibri" w:eastAsia="Calibri" w:hAnsi="Calibri"/>
          <w:b/>
          <w:bCs/>
          <w:i w:val="false"/>
          <w:iCs w:val="false"/>
          <w:strike w:val="false"/>
          <w:color w:val="000000"/>
          <w:sz w:val="22"/>
          <w:szCs w:val="22"/>
        </w:rPr>
        <w:t xml:space="preserve">No — not alone.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IIS + git-http-backend provides exactly one thing well: Git Smart HTTP transport (clone, push, pull) over HTTPS with Windows Integrated Authentication. That is necessary. But it is the floor, not the ceiling. The UIAO governance vision requires programmatic code access via REST API, webhook-driven automation pipelines, API token authentication for scripts, repository management endpoints, and OAuth2/OIDC integration with Entra ID. IIS has none of these capabilities natively.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After evaluating five architecture options, this ADR recommends </w:t>
      </w:r>
      <w:r>
        <w:rPr>
          <w:rFonts w:ascii="Calibri" w:cs="Calibri" w:eastAsia="Calibri" w:hAnsi="Calibri"/>
          <w:b/>
          <w:bCs/>
          <w:i w:val="false"/>
          <w:iCs w:val="false"/>
          <w:strike w:val="false"/>
          <w:color w:val="000000"/>
          <w:sz w:val="22"/>
          <w:szCs w:val="22"/>
        </w:rPr>
        <w:t xml:space="preserve">Option B: Gitea on Windows Server 2025 behind IIS reverse proxy</w:t>
      </w:r>
      <w:r>
        <w:rPr>
          <w:rFonts w:ascii="Calibri" w:cs="Calibri" w:eastAsia="Calibri" w:hAnsi="Calibri"/>
          <w:b w:val="false"/>
          <w:bCs w:val="false"/>
          <w:i w:val="false"/>
          <w:iCs w:val="false"/>
          <w:strike w:val="false"/>
          <w:color w:val="000000"/>
          <w:sz w:val="22"/>
          <w:szCs w:val="22"/>
        </w:rPr>
        <w:t xml:space="preserve">. Gitea is a single Go binary (~100 MB) that runs natively on Windows as a service, provides a full OpenAPI-documented REST API, supports LDAP/AD and OAuth2/OIDC authentication, includes a native webhook system, and requires no external database for small deployments (SQLite is the default). IIS is not replaced — it is </w:t>
      </w:r>
      <w:r>
        <w:rPr>
          <w:rFonts w:ascii="Calibri" w:cs="Calibri" w:eastAsia="Calibri" w:hAnsi="Calibri"/>
          <w:b w:val="false"/>
          <w:bCs w:val="false"/>
          <w:i/>
          <w:iCs/>
          <w:strike w:val="false"/>
          <w:color w:val="000000"/>
          <w:sz w:val="22"/>
          <w:szCs w:val="22"/>
        </w:rPr>
        <w:t xml:space="preserve">promoted</w:t>
      </w:r>
      <w:r>
        <w:rPr>
          <w:rFonts w:ascii="Calibri" w:cs="Calibri" w:eastAsia="Calibri" w:hAnsi="Calibri"/>
          <w:b w:val="false"/>
          <w:bCs w:val="false"/>
          <w:i w:val="false"/>
          <w:iCs w:val="false"/>
          <w:strike w:val="false"/>
          <w:color w:val="000000"/>
          <w:sz w:val="22"/>
          <w:szCs w:val="22"/>
        </w:rPr>
        <w:t xml:space="preserve"> from CGI application host to reverse proxy, where it handles TLS termination, request filtering, and security hardening.</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architecture satisfies every UIAO governance requirement while staying within the GCC-Moderate boundary, running entirely on-premises on a single Windows Server 2025 instance, and adding zero cloud service dependencies.</w:t>
      </w:r>
    </w:p>
    <w:p>
      <w:pPr>
        <w:pStyle w:val="Heading1"/>
        <w:spacing w:after="120" w:before="480" w:line="312" w:lineRule="auto"/>
      </w:pPr>
      <w:r>
        <w:rPr>
          <w:rFonts w:ascii="Calibri" w:cs="Calibri" w:eastAsia="Calibri" w:hAnsi="Calibri"/>
          <w:color w:val="1A1A1A"/>
          <w:sz w:val="48"/>
          <w:szCs w:val="48"/>
        </w:rPr>
        <w:t xml:space="preserve">2. Requirements Analysis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table maps each UIAO infrastructure requirement to what IIS + git-http-backend can deliver versus what the full governance vision demands.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3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Requirement</w:t>
            </w:r>
          </w:p>
        </w:tc>
        <w:tc>
          <w:tcPr>
            <w:tcW w:type="pct" w:w="1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IIS + git-http-backend</w:t>
            </w:r>
          </w:p>
        </w:tc>
        <w:tc>
          <w:tcPr>
            <w:tcW w:type="pct" w:w="2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What UIAO Needs</w:t>
            </w:r>
          </w:p>
        </w:tc>
        <w:tc>
          <w:tcPr>
            <w:tcW w:type="pct" w:w="2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Gap Assessment</w:t>
            </w:r>
          </w:p>
        </w:tc>
      </w:tr>
      <w:tr>
        <w:trPr>
          <w:tblHeader w:val="false"/>
        </w:trPr>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Git hosting (clone/push/pull over HTTPS)</w:t>
            </w:r>
          </w:p>
        </w:tc>
        <w:tc>
          <w:tcPr>
            <w:tcW w:type="pct" w:w="16%"/>
            <w:tcMar>
              <w:top w:type="dxa" w:w="90"/>
              <w:left w:type="dxa" w:w="120"/>
              <w:bottom w:type="dxa" w:w="90"/>
              <w:right w:type="dxa" w:w="120"/>
            </w:tcMar>
          </w:tcPr>
          <w:p>
            <w:r>
              <w:rPr>
                <w:rFonts w:ascii="Calibri" w:cs="Calibri" w:eastAsia="Calibri" w:hAnsi="Calibri"/>
                <w:b/>
                <w:bCs/>
                <w:i w:val="false"/>
                <w:iCs w:val="false"/>
                <w:strike w:val="false"/>
                <w:color w:val="006600"/>
                <w:sz w:val="22"/>
                <w:szCs w:val="22"/>
              </w:rPr>
              <w:t xml:space="preserve">✓ Full support</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Smart HTTP transport</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 gap — IIS handles this correctly via CGI</w:t>
            </w:r>
          </w:p>
        </w:tc>
      </w:tr>
      <w:tr>
        <w:trPr>
          <w:tblHeader w:val="false"/>
        </w:trPr>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REST API for code access (browse files, commits, branches, tags programmatically)</w:t>
            </w:r>
          </w:p>
        </w:tc>
        <w:tc>
          <w:tcPr>
            <w:tcW w:type="pct" w:w="16%"/>
            <w:tcMar>
              <w:top w:type="dxa" w:w="90"/>
              <w:left w:type="dxa" w:w="120"/>
              <w:bottom w:type="dxa" w:w="90"/>
              <w:right w:type="dxa" w:w="120"/>
            </w:tcMar>
          </w:tcPr>
          <w:p>
            <w:r>
              <w:rPr>
                <w:rFonts w:ascii="Calibri" w:cs="Calibri" w:eastAsia="Calibri" w:hAnsi="Calibri"/>
                <w:b/>
                <w:bCs/>
                <w:i w:val="false"/>
                <w:iCs w:val="false"/>
                <w:strike w:val="false"/>
                <w:color w:val="CC0000"/>
                <w:sz w:val="22"/>
                <w:szCs w:val="22"/>
              </w:rPr>
              <w:t xml:space="preserve">✗ None</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Full REST API with JSON responses</w:t>
            </w:r>
          </w:p>
        </w:tc>
        <w:tc>
          <w:tcPr>
            <w:tcW w:type="pct" w:w="29%"/>
            <w:tcMar>
              <w:top w:type="dxa" w:w="90"/>
              <w:left w:type="dxa" w:w="120"/>
              <w:bottom w:type="dxa" w:w="90"/>
              <w:right w:type="dxa" w:w="120"/>
            </w:tcMar>
          </w:tcPr>
          <w:p>
            <w:r>
              <w:rPr>
                <w:rFonts w:ascii="Calibri" w:cs="Calibri" w:eastAsia="Calibri" w:hAnsi="Calibri"/>
                <w:b/>
                <w:bCs/>
                <w:i w:val="false"/>
                <w:iCs w:val="false"/>
                <w:strike w:val="false"/>
                <w:color w:val="CC0000"/>
                <w:sz w:val="22"/>
                <w:szCs w:val="22"/>
              </w:rPr>
              <w:t xml:space="preserve">Critical gap — no programmatic code browsing</w:t>
            </w:r>
          </w:p>
        </w:tc>
      </w:tr>
      <w:tr>
        <w:trPr>
          <w:tblHeader w:val="false"/>
        </w:trPr>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Webhook triggers (post-push governance automation)</w:t>
            </w:r>
          </w:p>
        </w:tc>
        <w:tc>
          <w:tcPr>
            <w:tcW w:type="pct" w:w="16%"/>
            <w:tcMar>
              <w:top w:type="dxa" w:w="90"/>
              <w:left w:type="dxa" w:w="120"/>
              <w:bottom w:type="dxa" w:w="90"/>
              <w:right w:type="dxa" w:w="120"/>
            </w:tcMar>
          </w:tcPr>
          <w:p>
            <w:r>
              <w:rPr>
                <w:rFonts w:ascii="Calibri" w:cs="Calibri" w:eastAsia="Calibri" w:hAnsi="Calibri"/>
                <w:b/>
                <w:bCs/>
                <w:i w:val="false"/>
                <w:iCs w:val="false"/>
                <w:strike w:val="false"/>
                <w:color w:val="CC0000"/>
                <w:sz w:val="22"/>
                <w:szCs w:val="22"/>
              </w:rPr>
              <w:t xml:space="preserve">✗ No native support</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Event-driven triggers on push, create, delete</w:t>
            </w:r>
          </w:p>
        </w:tc>
        <w:tc>
          <w:tcPr>
            <w:tcW w:type="pct" w:w="29%"/>
            <w:tcMar>
              <w:top w:type="dxa" w:w="90"/>
              <w:left w:type="dxa" w:w="120"/>
              <w:bottom w:type="dxa" w:w="90"/>
              <w:right w:type="dxa" w:w="120"/>
            </w:tcMar>
          </w:tcPr>
          <w:p>
            <w:r>
              <w:rPr>
                <w:rFonts w:ascii="Calibri" w:cs="Calibri" w:eastAsia="Calibri" w:hAnsi="Calibri"/>
                <w:b/>
                <w:bCs/>
                <w:i w:val="false"/>
                <w:iCs w:val="false"/>
                <w:strike w:val="false"/>
                <w:color w:val="CC0000"/>
                <w:sz w:val="22"/>
                <w:szCs w:val="22"/>
              </w:rPr>
              <w:t xml:space="preserve">Critical gap — must use server-side hooks only (fragile)</w:t>
            </w:r>
          </w:p>
        </w:tc>
      </w:tr>
      <w:tr>
        <w:trPr>
          <w:tblHeader w:val="false"/>
        </w:trPr>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Active Directory authentication</w:t>
            </w:r>
          </w:p>
        </w:tc>
        <w:tc>
          <w:tcPr>
            <w:tcW w:type="pct" w:w="16%"/>
            <w:tcMar>
              <w:top w:type="dxa" w:w="90"/>
              <w:left w:type="dxa" w:w="120"/>
              <w:bottom w:type="dxa" w:w="90"/>
              <w:right w:type="dxa" w:w="120"/>
            </w:tcMar>
          </w:tcPr>
          <w:p>
            <w:r>
              <w:rPr>
                <w:rFonts w:ascii="Calibri" w:cs="Calibri" w:eastAsia="Calibri" w:hAnsi="Calibri"/>
                <w:b/>
                <w:bCs/>
                <w:i w:val="false"/>
                <w:iCs w:val="false"/>
                <w:strike w:val="false"/>
                <w:color w:val="006600"/>
                <w:sz w:val="22"/>
                <w:szCs w:val="22"/>
              </w:rPr>
              <w:t xml:space="preserve">✓ Windows Integrated Auth</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AD-based access control</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 gap — IIS Windows Auth works via Negotiate/NTLM</w:t>
            </w:r>
          </w:p>
        </w:tc>
      </w:tr>
      <w:tr>
        <w:trPr>
          <w:tblHeader w:val="false"/>
        </w:trPr>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Entra ID / OIDC authentication</w:t>
            </w:r>
          </w:p>
        </w:tc>
        <w:tc>
          <w:tcPr>
            <w:tcW w:type="pct" w:w="16%"/>
            <w:tcMar>
              <w:top w:type="dxa" w:w="90"/>
              <w:left w:type="dxa" w:w="120"/>
              <w:bottom w:type="dxa" w:w="90"/>
              <w:right w:type="dxa" w:w="120"/>
            </w:tcMar>
          </w:tcPr>
          <w:p>
            <w:r>
              <w:rPr>
                <w:rFonts w:ascii="Calibri" w:cs="Calibri" w:eastAsia="Calibri" w:hAnsi="Calibri"/>
                <w:b/>
                <w:bCs/>
                <w:i w:val="false"/>
                <w:iCs w:val="false"/>
                <w:strike w:val="false"/>
                <w:color w:val="CC0000"/>
                <w:sz w:val="22"/>
                <w:szCs w:val="22"/>
              </w:rPr>
              <w:t xml:space="preserve">✗ Not natively</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OAuth2/OIDC flow for Entra ID SSO</w:t>
            </w:r>
          </w:p>
        </w:tc>
        <w:tc>
          <w:tcPr>
            <w:tcW w:type="pct" w:w="29%"/>
            <w:tcMar>
              <w:top w:type="dxa" w:w="90"/>
              <w:left w:type="dxa" w:w="120"/>
              <w:bottom w:type="dxa" w:w="90"/>
              <w:right w:type="dxa" w:w="120"/>
            </w:tcMar>
          </w:tcPr>
          <w:p>
            <w:r>
              <w:rPr>
                <w:rFonts w:ascii="Calibri" w:cs="Calibri" w:eastAsia="Calibri" w:hAnsi="Calibri"/>
                <w:b/>
                <w:bCs/>
                <w:i w:val="false"/>
                <w:iCs w:val="false"/>
                <w:strike w:val="false"/>
                <w:color w:val="CC0000"/>
                <w:sz w:val="22"/>
                <w:szCs w:val="22"/>
              </w:rPr>
              <w:t xml:space="preserve">Requires custom middleware or application-level support</w:t>
            </w:r>
          </w:p>
        </w:tc>
      </w:tr>
      <w:tr>
        <w:trPr>
          <w:tblHeader w:val="false"/>
        </w:trPr>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Repository management API</w:t>
            </w:r>
          </w:p>
        </w:tc>
        <w:tc>
          <w:tcPr>
            <w:tcW w:type="pct" w:w="16%"/>
            <w:tcMar>
              <w:top w:type="dxa" w:w="90"/>
              <w:left w:type="dxa" w:w="120"/>
              <w:bottom w:type="dxa" w:w="90"/>
              <w:right w:type="dxa" w:w="120"/>
            </w:tcMar>
          </w:tcPr>
          <w:p>
            <w:r>
              <w:rPr>
                <w:rFonts w:ascii="Calibri" w:cs="Calibri" w:eastAsia="Calibri" w:hAnsi="Calibri"/>
                <w:b/>
                <w:bCs/>
                <w:i w:val="false"/>
                <w:iCs w:val="false"/>
                <w:strike w:val="false"/>
                <w:color w:val="CC0000"/>
                <w:sz w:val="22"/>
                <w:szCs w:val="22"/>
              </w:rPr>
              <w:t xml:space="preserve">✗ None</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Create, delete, fork, mirror, transfer repos via API</w:t>
            </w:r>
          </w:p>
        </w:tc>
        <w:tc>
          <w:tcPr>
            <w:tcW w:type="pct" w:w="29%"/>
            <w:tcMar>
              <w:top w:type="dxa" w:w="90"/>
              <w:left w:type="dxa" w:w="120"/>
              <w:bottom w:type="dxa" w:w="90"/>
              <w:right w:type="dxa" w:w="120"/>
            </w:tcMar>
          </w:tcPr>
          <w:p>
            <w:r>
              <w:rPr>
                <w:rFonts w:ascii="Calibri" w:cs="Calibri" w:eastAsia="Calibri" w:hAnsi="Calibri"/>
                <w:b/>
                <w:bCs/>
                <w:i w:val="false"/>
                <w:iCs w:val="false"/>
                <w:strike w:val="false"/>
                <w:color w:val="CC0000"/>
                <w:sz w:val="22"/>
                <w:szCs w:val="22"/>
              </w:rPr>
              <w:t xml:space="preserve">Critical gap — all repo management is manual/CLI only</w:t>
            </w:r>
          </w:p>
        </w:tc>
      </w:tr>
      <w:tr>
        <w:trPr>
          <w:tblHeader w:val="false"/>
        </w:trPr>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Issue / PR workflow</w:t>
            </w:r>
          </w:p>
        </w:tc>
        <w:tc>
          <w:tcPr>
            <w:tcW w:type="pct" w:w="16%"/>
            <w:tcMar>
              <w:top w:type="dxa" w:w="90"/>
              <w:left w:type="dxa" w:w="120"/>
              <w:bottom w:type="dxa" w:w="90"/>
              <w:right w:type="dxa" w:w="120"/>
            </w:tcMar>
          </w:tcPr>
          <w:p>
            <w:r>
              <w:rPr>
                <w:rFonts w:ascii="Calibri" w:cs="Calibri" w:eastAsia="Calibri" w:hAnsi="Calibri"/>
                <w:b/>
                <w:bCs/>
                <w:i w:val="false"/>
                <w:iCs w:val="false"/>
                <w:strike w:val="false"/>
                <w:color w:val="CC0000"/>
                <w:sz w:val="22"/>
                <w:szCs w:val="22"/>
              </w:rPr>
              <w:t xml:space="preserve">✗ None</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Lightweight issue tracking, pull request reviews</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Desirable but not blocking for Phase 1</w:t>
            </w:r>
          </w:p>
        </w:tc>
      </w:tr>
      <w:tr>
        <w:trPr>
          <w:tblHeader w:val="false"/>
        </w:trPr>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API tokens for automation</w:t>
            </w:r>
          </w:p>
        </w:tc>
        <w:tc>
          <w:tcPr>
            <w:tcW w:type="pct" w:w="16%"/>
            <w:tcMar>
              <w:top w:type="dxa" w:w="90"/>
              <w:left w:type="dxa" w:w="120"/>
              <w:bottom w:type="dxa" w:w="90"/>
              <w:right w:type="dxa" w:w="120"/>
            </w:tcMar>
          </w:tcPr>
          <w:p>
            <w:r>
              <w:rPr>
                <w:rFonts w:ascii="Calibri" w:cs="Calibri" w:eastAsia="Calibri" w:hAnsi="Calibri"/>
                <w:b/>
                <w:bCs/>
                <w:i w:val="false"/>
                <w:iCs w:val="false"/>
                <w:strike w:val="false"/>
                <w:color w:val="CC0000"/>
                <w:sz w:val="22"/>
                <w:szCs w:val="22"/>
              </w:rPr>
              <w:t xml:space="preserve">✗ None</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Personal access tokens, OAuth2 app tokens</w:t>
            </w:r>
          </w:p>
        </w:tc>
        <w:tc>
          <w:tcPr>
            <w:tcW w:type="pct" w:w="29%"/>
            <w:tcMar>
              <w:top w:type="dxa" w:w="90"/>
              <w:left w:type="dxa" w:w="120"/>
              <w:bottom w:type="dxa" w:w="90"/>
              <w:right w:type="dxa" w:w="120"/>
            </w:tcMar>
          </w:tcPr>
          <w:p>
            <w:r>
              <w:rPr>
                <w:rFonts w:ascii="Calibri" w:cs="Calibri" w:eastAsia="Calibri" w:hAnsi="Calibri"/>
                <w:b/>
                <w:bCs/>
                <w:i w:val="false"/>
                <w:iCs w:val="false"/>
                <w:strike w:val="false"/>
                <w:color w:val="CC0000"/>
                <w:sz w:val="22"/>
                <w:szCs w:val="22"/>
              </w:rPr>
              <w:t xml:space="preserve">Critical gap — PowerShell automation cannot authenticate via API</w:t>
            </w:r>
          </w:p>
        </w:tc>
      </w:tr>
      <w:tr>
        <w:trPr>
          <w:tblHeader w:val="false"/>
        </w:trPr>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Audit logging</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Basic IIS request logs only</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Structured audit trail: who pushed what, when, API access</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Partial gap — IIS logs HTTP requests but not Git-level actions</w:t>
            </w:r>
          </w:p>
        </w:tc>
      </w:tr>
      <w:tr>
        <w:trPr>
          <w:tblHeader w:val="false"/>
        </w:trPr>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Active-passive replication</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Must be custom-built</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Repository mirroring for disaster recovery</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Gap regardless — Gitea adds mirror API but replication is custom either way</w:t>
            </w:r>
          </w:p>
        </w:tc>
      </w:tr>
      <w:tr>
        <w:trPr>
          <w:tblHeader w:val="false"/>
        </w:trPr>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Web-based code browsing</w:t>
            </w:r>
          </w:p>
        </w:tc>
        <w:tc>
          <w:tcPr>
            <w:tcW w:type="pct" w:w="16%"/>
            <w:tcMar>
              <w:top w:type="dxa" w:w="90"/>
              <w:left w:type="dxa" w:w="120"/>
              <w:bottom w:type="dxa" w:w="90"/>
              <w:right w:type="dxa" w:w="120"/>
            </w:tcMar>
          </w:tcPr>
          <w:p>
            <w:r>
              <w:rPr>
                <w:rFonts w:ascii="Calibri" w:cs="Calibri" w:eastAsia="Calibri" w:hAnsi="Calibri"/>
                <w:b/>
                <w:bCs/>
                <w:i w:val="false"/>
                <w:iCs w:val="false"/>
                <w:strike w:val="false"/>
                <w:color w:val="CC0000"/>
                <w:sz w:val="22"/>
                <w:szCs w:val="22"/>
              </w:rPr>
              <w:t xml:space="preserve">✗ None</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Browser-based file viewer, commit history, diffs</w:t>
            </w:r>
          </w:p>
        </w:tc>
        <w:tc>
          <w:tcPr>
            <w:tcW w:type="pct" w:w="29%"/>
            <w:tcMar>
              <w:top w:type="dxa" w:w="90"/>
              <w:left w:type="dxa" w:w="120"/>
              <w:bottom w:type="dxa" w:w="90"/>
              <w:right w:type="dxa" w:w="120"/>
            </w:tcMar>
          </w:tcPr>
          <w:p>
            <w:r>
              <w:rPr>
                <w:rFonts w:ascii="Calibri" w:cs="Calibri" w:eastAsia="Calibri" w:hAnsi="Calibri"/>
                <w:b/>
                <w:bCs/>
                <w:i w:val="false"/>
                <w:iCs w:val="false"/>
                <w:strike w:val="false"/>
                <w:color w:val="CC0000"/>
                <w:sz w:val="22"/>
                <w:szCs w:val="22"/>
              </w:rPr>
              <w:t xml:space="preserve">No web UI — operators must use CLI exclusively</w:t>
            </w:r>
          </w:p>
        </w:tc>
      </w:tr>
      <w:tr>
        <w:trPr>
          <w:tblHeader w:val="false"/>
        </w:trPr>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TLS/HTTPS termination</w:t>
            </w:r>
          </w:p>
        </w:tc>
        <w:tc>
          <w:tcPr>
            <w:tcW w:type="pct" w:w="16%"/>
            <w:tcMar>
              <w:top w:type="dxa" w:w="90"/>
              <w:left w:type="dxa" w:w="120"/>
              <w:bottom w:type="dxa" w:w="90"/>
              <w:right w:type="dxa" w:w="120"/>
            </w:tcMar>
          </w:tcPr>
          <w:p>
            <w:r>
              <w:rPr>
                <w:rFonts w:ascii="Calibri" w:cs="Calibri" w:eastAsia="Calibri" w:hAnsi="Calibri"/>
                <w:b/>
                <w:bCs/>
                <w:i w:val="false"/>
                <w:iCs w:val="false"/>
                <w:strike w:val="false"/>
                <w:color w:val="006600"/>
                <w:sz w:val="22"/>
                <w:szCs w:val="22"/>
              </w:rPr>
              <w:t xml:space="preserve">✓ Full support</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Certificate management, HTTPS enforcement</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 gap — IIS excels here</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CE8E8" w:color="auto" w:val="clear"/>
            <w:tcMar>
              <w:top w:type="dxa" w:w="180"/>
              <w:left w:type="dxa" w:w="180"/>
              <w:bottom w:type="dxa" w:w="180"/>
              <w:right w:type="dxa" w:w="180"/>
            </w:tcMar>
          </w:tcPr>
          <w:p>
            <w:pPr>
              <w:spacing w:after="120" w:line="408" w:lineRule="auto"/>
            </w:pPr>
            <w:r>
              <w:rPr>
                <w:b/>
                <w:bCs/>
                <w:i w:val="false"/>
                <w:iCs w:val="false"/>
                <w:color w:val="000000"/>
              </w:rPr>
              <w:t xml:space="preserve">BOTTOM LINE</w:t>
            </w:r>
          </w:p>
          <w:p>
            <w:pPr>
              <w:spacing w:after="120" w:line="360" w:lineRule="auto"/>
            </w:pPr>
            <w:r>
              <w:rPr>
                <w:rFonts w:ascii="Calibri" w:cs="Calibri" w:eastAsia="Calibri" w:hAnsi="Calibri"/>
                <w:b w:val="false"/>
                <w:bCs w:val="false"/>
                <w:i w:val="false"/>
                <w:iCs w:val="false"/>
                <w:strike w:val="false"/>
                <w:color w:val="000000"/>
                <w:sz w:val="22"/>
                <w:szCs w:val="22"/>
              </w:rPr>
              <w:t xml:space="preserve">IIS + git-http-backend satisfies 3 of 12 requirements fully, 2 partially, and </w:t>
            </w:r>
            <w:r>
              <w:rPr>
                <w:rFonts w:ascii="Calibri" w:cs="Calibri" w:eastAsia="Calibri" w:hAnsi="Calibri"/>
                <w:b/>
                <w:bCs/>
                <w:i w:val="false"/>
                <w:iCs w:val="false"/>
                <w:strike w:val="false"/>
                <w:color w:val="000000"/>
                <w:sz w:val="22"/>
                <w:szCs w:val="22"/>
              </w:rPr>
              <w:t xml:space="preserve">fails 7 entirely</w:t>
            </w:r>
            <w:r>
              <w:rPr>
                <w:rFonts w:ascii="Calibri" w:cs="Calibri" w:eastAsia="Calibri" w:hAnsi="Calibri"/>
                <w:b w:val="false"/>
                <w:bCs w:val="false"/>
                <w:i w:val="false"/>
                <w:iCs w:val="false"/>
                <w:strike w:val="false"/>
                <w:color w:val="000000"/>
                <w:sz w:val="22"/>
                <w:szCs w:val="22"/>
              </w:rPr>
              <w:t xml:space="preserve">. The gaps are not edge cases — they are the core capabilities that enable UIAO's governance automation pipeline (Entra ID → Graph API → Intune → Azure Arc).</w:t>
            </w:r>
          </w:p>
        </w:tc>
      </w:tr>
    </w:tbl>
    <w:p>
      <w:pPr>
        <w:spacing w:after="240" w:before="0"/>
      </w:pPr>
    </w:p>
    <w:p>
      <w:pPr>
        <w:pStyle w:val="Heading1"/>
        <w:spacing w:after="120" w:before="480" w:line="312" w:lineRule="auto"/>
      </w:pPr>
      <w:r>
        <w:rPr>
          <w:rFonts w:ascii="Calibri" w:cs="Calibri" w:eastAsia="Calibri" w:hAnsi="Calibri"/>
          <w:color w:val="1A1A1A"/>
          <w:sz w:val="48"/>
          <w:szCs w:val="48"/>
        </w:rPr>
        <w:t xml:space="preserve">3. Architecture Options Evaluated</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Five architecture options were evaluated against the UIAO requirements. Each option is assessed for capability coverage, operational complexity, and alignment with the UIAO principles of determinism, auditability, and minimal footprint.</w:t>
      </w:r>
    </w:p>
    <w:p>
      <w:pPr>
        <w:pStyle w:val="Heading2"/>
        <w:spacing w:after="120" w:before="360" w:line="312" w:lineRule="auto"/>
      </w:pPr>
      <w:r>
        <w:rPr>
          <w:rFonts w:ascii="Calibri" w:cs="Calibri" w:eastAsia="Calibri" w:hAnsi="Calibri"/>
          <w:color w:val="1A1A1A"/>
          <w:sz w:val="36"/>
          <w:szCs w:val="36"/>
        </w:rPr>
        <w:t xml:space="preserve">3.1 Option A: IIS + git-http-backend Only (Current State)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is the current implementation as documented in the UIAO Infrastructure Implementation Guide. IIS serves as the application host, invoking Git's CGI binary (git-http-backend.exe) to handle Smart HTTP protocol requests.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Capabilities:</w:t>
      </w:r>
      <w:r>
        <w:rPr>
          <w:rFonts w:ascii="Calibri" w:cs="Calibri" w:eastAsia="Calibri" w:hAnsi="Calibri"/>
          <w:b w:val="false"/>
          <w:bCs w:val="false"/>
          <w:i w:val="false"/>
          <w:iCs w:val="false"/>
          <w:strike w:val="false"/>
          <w:color w:val="000000"/>
          <w:sz w:val="22"/>
          <w:szCs w:val="22"/>
        </w:rPr>
        <w:t xml:space="preserve"> Git Smart HTTP (clone/push/pull), Windows Integrated Authentication, HTTPS via IIS bindings, basic IIS request logging</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Gaps:</w:t>
      </w:r>
      <w:r>
        <w:rPr>
          <w:rFonts w:ascii="Calibri" w:cs="Calibri" w:eastAsia="Calibri" w:hAnsi="Calibri"/>
          <w:b w:val="false"/>
          <w:bCs w:val="false"/>
          <w:i w:val="false"/>
          <w:iCs w:val="false"/>
          <w:strike w:val="false"/>
          <w:color w:val="000000"/>
          <w:sz w:val="22"/>
          <w:szCs w:val="22"/>
        </w:rPr>
        <w:t xml:space="preserve"> No REST API, no webhooks, no code browsing, no repository management API, no Entra ID/OIDC, no API tokens, no issue tracking</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Operational profile:</w:t>
      </w:r>
      <w:r>
        <w:rPr>
          <w:rFonts w:ascii="Calibri" w:cs="Calibri" w:eastAsia="Calibri" w:hAnsi="Calibri"/>
          <w:b w:val="false"/>
          <w:bCs w:val="false"/>
          <w:i w:val="false"/>
          <w:iCs w:val="false"/>
          <w:strike w:val="false"/>
          <w:color w:val="000000"/>
          <w:sz w:val="22"/>
          <w:szCs w:val="22"/>
        </w:rPr>
        <w:t xml:space="preserve"> Minimal footprint, zero external dependencies beyond Git for Windows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Verdict:</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CC0000"/>
          <w:sz w:val="22"/>
          <w:szCs w:val="22"/>
        </w:rPr>
        <w:t xml:space="preserve">Insufficient alone.</w:t>
      </w:r>
      <w:r>
        <w:rPr>
          <w:rFonts w:ascii="Calibri" w:cs="Calibri" w:eastAsia="Calibri" w:hAnsi="Calibri"/>
          <w:b w:val="false"/>
          <w:bCs w:val="false"/>
          <w:i w:val="false"/>
          <w:iCs w:val="false"/>
          <w:strike w:val="false"/>
          <w:color w:val="000000"/>
          <w:sz w:val="22"/>
          <w:szCs w:val="22"/>
        </w:rPr>
        <w:t xml:space="preserve"> Adequate only if UIAO never needs programmatic access to its own code — which contradicts the governance automation architecture.</w:t>
      </w:r>
    </w:p>
    <w:p>
      <w:pPr>
        <w:pStyle w:val="Heading2"/>
        <w:spacing w:after="120" w:before="360" w:line="312" w:lineRule="auto"/>
      </w:pPr>
      <w:r>
        <w:rPr>
          <w:rFonts w:ascii="Calibri" w:cs="Calibri" w:eastAsia="Calibri" w:hAnsi="Calibri"/>
          <w:color w:val="1A1A1A"/>
          <w:sz w:val="36"/>
          <w:szCs w:val="36"/>
        </w:rPr>
        <w:t xml:space="preserve">3.2 Option B: Gitea on Windows Server 2025 behind IIS Reverse Proxy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80"/>
              <w:left w:type="dxa" w:w="180"/>
              <w:bottom w:type="dxa" w:w="180"/>
              <w:right w:type="dxa" w:w="180"/>
            </w:tcMar>
          </w:tcPr>
          <w:p>
            <w:pPr>
              <w:spacing w:after="120" w:line="408" w:lineRule="auto"/>
            </w:pPr>
            <w:r>
              <w:rPr>
                <w:b/>
                <w:bCs/>
                <w:i w:val="false"/>
                <w:iCs w:val="false"/>
                <w:color w:val="000000"/>
              </w:rPr>
              <w:t xml:space="preserve">RECOMMENDED</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is the recommended architecture. Gitea provides the application layer; IIS provides the network security layer.</w:t>
            </w:r>
          </w:p>
        </w:tc>
      </w:tr>
    </w:tbl>
    <w:p>
      <w:pPr>
        <w:spacing w:after="24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Gitea is a self-hosted Git service written in Go. It compiles to a single binary, runs natively on Windows without WSL or containers, and includes a built-in web server. Key characteristics: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Single binary deployment:</w:t>
      </w:r>
      <w:r>
        <w:rPr>
          <w:rFonts w:ascii="Calibri" w:cs="Calibri" w:eastAsia="Calibri" w:hAnsi="Calibri"/>
          <w:b w:val="false"/>
          <w:bCs w:val="false"/>
          <w:i w:val="false"/>
          <w:iCs w:val="false"/>
          <w:strike w:val="false"/>
          <w:color w:val="000000"/>
          <w:sz w:val="22"/>
          <w:szCs w:val="22"/>
        </w:rPr>
        <w:t xml:space="preserve"> ~100 MB executable, no runtime dependencies, no JVM, no Node.js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Full REST API:</w:t>
      </w:r>
      <w:r>
        <w:rPr>
          <w:rFonts w:ascii="Calibri" w:cs="Calibri" w:eastAsia="Calibri" w:hAnsi="Calibri"/>
          <w:b w:val="false"/>
          <w:bCs w:val="false"/>
          <w:i w:val="false"/>
          <w:iCs w:val="false"/>
          <w:strike w:val="false"/>
          <w:color w:val="000000"/>
          <w:sz w:val="22"/>
          <w:szCs w:val="22"/>
        </w:rPr>
        <w:t xml:space="preserve"> OpenAPI/Swagger-documented at </w:t>
      </w:r>
      <w:r>
        <w:rPr>
          <w:rFonts w:ascii="Courier New" w:cs="Courier New" w:eastAsia="Courier New" w:hAnsi="Courier New"/>
          <w:b w:val="false"/>
          <w:bCs w:val="false"/>
          <w:i w:val="false"/>
          <w:iCs w:val="false"/>
          <w:color w:val="000000"/>
          <w:sz w:val="20"/>
          <w:szCs w:val="20"/>
          <w:shd w:fill="F3F4F6" w:color="auto" w:val="clear"/>
        </w:rPr>
        <w:t xml:space="preserve">/api/swagger</w:t>
      </w:r>
      <w:r>
        <w:rPr>
          <w:rFonts w:ascii="Calibri" w:cs="Calibri" w:eastAsia="Calibri" w:hAnsi="Calibri"/>
          <w:b w:val="false"/>
          <w:bCs w:val="false"/>
          <w:i w:val="false"/>
          <w:iCs w:val="false"/>
          <w:strike w:val="false"/>
          <w:color w:val="000000"/>
          <w:sz w:val="22"/>
          <w:szCs w:val="22"/>
        </w:rPr>
        <w:t xml:space="preserve">, covering repositories, users, organizations, issues, pull requests, releases, and administrative operations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Native LDAP/Active Directory authentication:</w:t>
      </w:r>
      <w:r>
        <w:rPr>
          <w:rFonts w:ascii="Calibri" w:cs="Calibri" w:eastAsia="Calibri" w:hAnsi="Calibri"/>
          <w:b w:val="false"/>
          <w:bCs w:val="false"/>
          <w:i w:val="false"/>
          <w:iCs w:val="false"/>
          <w:strike w:val="false"/>
          <w:color w:val="000000"/>
          <w:sz w:val="22"/>
          <w:szCs w:val="22"/>
        </w:rPr>
        <w:t xml:space="preserve"> Bind DN configuration for AD integration — users authenticate with their domain credentials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OAuth2/OIDC support:</w:t>
      </w:r>
      <w:r>
        <w:rPr>
          <w:rFonts w:ascii="Calibri" w:cs="Calibri" w:eastAsia="Calibri" w:hAnsi="Calibri"/>
          <w:b w:val="false"/>
          <w:bCs w:val="false"/>
          <w:i w:val="false"/>
          <w:iCs w:val="false"/>
          <w:strike w:val="false"/>
          <w:color w:val="000000"/>
          <w:sz w:val="22"/>
          <w:szCs w:val="22"/>
        </w:rPr>
        <w:t xml:space="preserve"> Built-in provider configuration for Entra ID (formerly Azure AD) — enables SSO without custom middleware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Webhook system:</w:t>
      </w:r>
      <w:r>
        <w:rPr>
          <w:rFonts w:ascii="Calibri" w:cs="Calibri" w:eastAsia="Calibri" w:hAnsi="Calibri"/>
          <w:b w:val="false"/>
          <w:bCs w:val="false"/>
          <w:i w:val="false"/>
          <w:iCs w:val="false"/>
          <w:strike w:val="false"/>
          <w:color w:val="000000"/>
          <w:sz w:val="22"/>
          <w:szCs w:val="22"/>
        </w:rPr>
        <w:t xml:space="preserve"> Native webhooks on push, create, delete, fork, release, issue, pull request, and repository events — delivers JSON payloads to configurable HTTP endpoints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API token authentication:</w:t>
      </w:r>
      <w:r>
        <w:rPr>
          <w:rFonts w:ascii="Calibri" w:cs="Calibri" w:eastAsia="Calibri" w:hAnsi="Calibri"/>
          <w:b w:val="false"/>
          <w:bCs w:val="false"/>
          <w:i w:val="false"/>
          <w:iCs w:val="false"/>
          <w:strike w:val="false"/>
          <w:color w:val="000000"/>
          <w:sz w:val="22"/>
          <w:szCs w:val="22"/>
        </w:rPr>
        <w:t xml:space="preserve"> Personal access tokens and OAuth2 application tokens for PowerShell and automation scripts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Repository management API:</w:t>
      </w:r>
      <w:r>
        <w:rPr>
          <w:rFonts w:ascii="Calibri" w:cs="Calibri" w:eastAsia="Calibri" w:hAnsi="Calibri"/>
          <w:b w:val="false"/>
          <w:bCs w:val="false"/>
          <w:i w:val="false"/>
          <w:iCs w:val="false"/>
          <w:strike w:val="false"/>
          <w:color w:val="000000"/>
          <w:sz w:val="22"/>
          <w:szCs w:val="22"/>
        </w:rPr>
        <w:t xml:space="preserve"> Create, delete, fork, mirror, transfer, and configure repositories programmatically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Code browsing API:</w:t>
      </w:r>
      <w:r>
        <w:rPr>
          <w:rFonts w:ascii="Calibri" w:cs="Calibri" w:eastAsia="Calibri" w:hAnsi="Calibri"/>
          <w:b w:val="false"/>
          <w:bCs w:val="false"/>
          <w:i w:val="false"/>
          <w:iCs w:val="false"/>
          <w:strike w:val="false"/>
          <w:color w:val="000000"/>
          <w:sz w:val="22"/>
          <w:szCs w:val="22"/>
        </w:rPr>
        <w:t xml:space="preserve"> Browse files, read file contents, list commits, compare branches, view diffs — all via REST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Default SQLite database:</w:t>
      </w:r>
      <w:r>
        <w:rPr>
          <w:rFonts w:ascii="Calibri" w:cs="Calibri" w:eastAsia="Calibri" w:hAnsi="Calibri"/>
          <w:b w:val="false"/>
          <w:bCs w:val="false"/>
          <w:i w:val="false"/>
          <w:iCs w:val="false"/>
          <w:strike w:val="false"/>
          <w:color w:val="000000"/>
          <w:sz w:val="22"/>
          <w:szCs w:val="22"/>
        </w:rPr>
        <w:t xml:space="preserve"> No external database server required for single-instance deployments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Windows Service support:</w:t>
      </w:r>
      <w:r>
        <w:rPr>
          <w:rFonts w:ascii="Calibri" w:cs="Calibri" w:eastAsia="Calibri" w:hAnsi="Calibri"/>
          <w:b w:val="false"/>
          <w:bCs w:val="false"/>
          <w:i w:val="false"/>
          <w:iCs w:val="false"/>
          <w:strike w:val="false"/>
          <w:color w:val="000000"/>
          <w:sz w:val="22"/>
          <w:szCs w:val="22"/>
        </w:rPr>
        <w:t xml:space="preserve"> Runs as a native Windows service via NSSM (Non-Sucking Service Manager) or </w:t>
      </w:r>
      <w:r>
        <w:rPr>
          <w:rFonts w:ascii="Courier New" w:cs="Courier New" w:eastAsia="Courier New" w:hAnsi="Courier New"/>
          <w:b w:val="false"/>
          <w:bCs w:val="false"/>
          <w:i w:val="false"/>
          <w:iCs w:val="false"/>
          <w:color w:val="000000"/>
          <w:sz w:val="20"/>
          <w:szCs w:val="20"/>
          <w:shd w:fill="F3F4F6" w:color="auto" w:val="clear"/>
        </w:rPr>
        <w:t xml:space="preserve">sc.exe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IIS reverse proxy:</w:t>
      </w:r>
      <w:r>
        <w:rPr>
          <w:rFonts w:ascii="Calibri" w:cs="Calibri" w:eastAsia="Calibri" w:hAnsi="Calibri"/>
          <w:b w:val="false"/>
          <w:bCs w:val="false"/>
          <w:i w:val="false"/>
          <w:iCs w:val="false"/>
          <w:strike w:val="false"/>
          <w:color w:val="000000"/>
          <w:sz w:val="22"/>
          <w:szCs w:val="22"/>
        </w:rPr>
        <w:t xml:space="preserve"> Gitea listens on </w:t>
      </w:r>
      <w:r>
        <w:rPr>
          <w:rFonts w:ascii="Courier New" w:cs="Courier New" w:eastAsia="Courier New" w:hAnsi="Courier New"/>
          <w:b w:val="false"/>
          <w:bCs w:val="false"/>
          <w:i w:val="false"/>
          <w:iCs w:val="false"/>
          <w:color w:val="000000"/>
          <w:sz w:val="20"/>
          <w:szCs w:val="20"/>
          <w:shd w:fill="F3F4F6" w:color="auto" w:val="clear"/>
        </w:rPr>
        <w:t xml:space="preserve">localhost:3000</w:t>
      </w:r>
      <w:r>
        <w:rPr>
          <w:rFonts w:ascii="Calibri" w:cs="Calibri" w:eastAsia="Calibri" w:hAnsi="Calibri"/>
          <w:b w:val="false"/>
          <w:bCs w:val="false"/>
          <w:i w:val="false"/>
          <w:iCs w:val="false"/>
          <w:strike w:val="false"/>
          <w:color w:val="000000"/>
          <w:sz w:val="22"/>
          <w:szCs w:val="22"/>
        </w:rPr>
        <w:t xml:space="preserve">; IIS handles TLS termination on port 443 and forwards requests via URL Rewrite + Application Request Routing (ARR)</w:t>
      </w:r>
    </w:p>
    <w:p>
      <w:pPr>
        <w:pStyle w:val="Heading2"/>
        <w:spacing w:after="120" w:before="360" w:line="312" w:lineRule="auto"/>
      </w:pPr>
      <w:r>
        <w:rPr>
          <w:rFonts w:ascii="Calibri" w:cs="Calibri" w:eastAsia="Calibri" w:hAnsi="Calibri"/>
          <w:color w:val="1A1A1A"/>
          <w:sz w:val="36"/>
          <w:szCs w:val="36"/>
        </w:rPr>
        <w:t xml:space="preserve">3.3 Option C: Azure DevOps Server (On-Premises)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Capabilities:</w:t>
      </w:r>
      <w:r>
        <w:rPr>
          <w:rFonts w:ascii="Calibri" w:cs="Calibri" w:eastAsia="Calibri" w:hAnsi="Calibri"/>
          <w:b w:val="false"/>
          <w:bCs w:val="false"/>
          <w:i w:val="false"/>
          <w:iCs w:val="false"/>
          <w:strike w:val="false"/>
          <w:color w:val="000000"/>
          <w:sz w:val="22"/>
          <w:szCs w:val="22"/>
        </w:rPr>
        <w:t xml:space="preserve"> Full Git hosting, REST API, pipelines, boards, test management, AD integration, granular permissions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Requirements:</w:t>
      </w:r>
      <w:r>
        <w:rPr>
          <w:rFonts w:ascii="Calibri" w:cs="Calibri" w:eastAsia="Calibri" w:hAnsi="Calibri"/>
          <w:b w:val="false"/>
          <w:bCs w:val="false"/>
          <w:i w:val="false"/>
          <w:iCs w:val="false"/>
          <w:strike w:val="false"/>
          <w:color w:val="000000"/>
          <w:sz w:val="22"/>
          <w:szCs w:val="22"/>
        </w:rPr>
        <w:t xml:space="preserve"> SQL Server (Standard or Enterprise), 16 GB+ RAM minimum, dedicated application tier, complex installation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Licensing:</w:t>
      </w:r>
      <w:r>
        <w:rPr>
          <w:rFonts w:ascii="Calibri" w:cs="Calibri" w:eastAsia="Calibri" w:hAnsi="Calibri"/>
          <w:b w:val="false"/>
          <w:bCs w:val="false"/>
          <w:i w:val="false"/>
          <w:iCs w:val="false"/>
          <w:strike w:val="false"/>
          <w:color w:val="000000"/>
          <w:sz w:val="22"/>
          <w:szCs w:val="22"/>
        </w:rPr>
        <w:t xml:space="preserve"> Per-user CALs or Visual Studio subscription inclusion — significant cost for a single-repository governance use case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Verdict:</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CC0000"/>
          <w:sz w:val="22"/>
          <w:szCs w:val="22"/>
        </w:rPr>
        <w:t xml:space="preserve">Overkill.</w:t>
      </w:r>
      <w:r>
        <w:rPr>
          <w:rFonts w:ascii="Calibri" w:cs="Calibri" w:eastAsia="Calibri" w:hAnsi="Calibri"/>
          <w:b w:val="false"/>
          <w:bCs w:val="false"/>
          <w:i w:val="false"/>
          <w:iCs w:val="false"/>
          <w:strike w:val="false"/>
          <w:color w:val="000000"/>
          <w:sz w:val="22"/>
          <w:szCs w:val="22"/>
        </w:rPr>
        <w:t xml:space="preserve"> Azure DevOps Server is designed for large engineering organizations with hundreds of repos and CI/CD pipelines. Deploying it for a single governance repository violates UIAO's principle of minimal footprint. It would work, but it introduces disproportionate complexity, cost, and attack surface.</w:t>
      </w:r>
    </w:p>
    <w:p>
      <w:pPr>
        <w:pStyle w:val="Heading2"/>
        <w:spacing w:after="120" w:before="360" w:line="312" w:lineRule="auto"/>
      </w:pPr>
      <w:r>
        <w:rPr>
          <w:rFonts w:ascii="Calibri" w:cs="Calibri" w:eastAsia="Calibri" w:hAnsi="Calibri"/>
          <w:color w:val="1A1A1A"/>
          <w:sz w:val="36"/>
          <w:szCs w:val="36"/>
        </w:rPr>
        <w:t xml:space="preserve">3.4 Option D: Gogs on Windows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Capabilities:</w:t>
      </w:r>
      <w:r>
        <w:rPr>
          <w:rFonts w:ascii="Calibri" w:cs="Calibri" w:eastAsia="Calibri" w:hAnsi="Calibri"/>
          <w:b w:val="false"/>
          <w:bCs w:val="false"/>
          <w:i w:val="false"/>
          <w:iCs w:val="false"/>
          <w:strike w:val="false"/>
          <w:color w:val="000000"/>
          <w:sz w:val="22"/>
          <w:szCs w:val="22"/>
        </w:rPr>
        <w:t xml:space="preserve"> Git hosting, web UI, basic API, LDAP authentication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Gaps:</w:t>
      </w:r>
      <w:r>
        <w:rPr>
          <w:rFonts w:ascii="Calibri" w:cs="Calibri" w:eastAsia="Calibri" w:hAnsi="Calibri"/>
          <w:b w:val="false"/>
          <w:bCs w:val="false"/>
          <w:i w:val="false"/>
          <w:iCs w:val="false"/>
          <w:strike w:val="false"/>
          <w:color w:val="000000"/>
          <w:sz w:val="22"/>
          <w:szCs w:val="22"/>
        </w:rPr>
        <w:t xml:space="preserve"> No OAuth2/OIDC support, smaller API surface than Gitea, slower release cadence, smaller community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Context:</w:t>
      </w:r>
      <w:r>
        <w:rPr>
          <w:rFonts w:ascii="Calibri" w:cs="Calibri" w:eastAsia="Calibri" w:hAnsi="Calibri"/>
          <w:b w:val="false"/>
          <w:bCs w:val="false"/>
          <w:i w:val="false"/>
          <w:iCs w:val="false"/>
          <w:strike w:val="false"/>
          <w:color w:val="000000"/>
          <w:sz w:val="22"/>
          <w:szCs w:val="22"/>
        </w:rPr>
        <w:t xml:space="preserve"> Gogs is the predecessor project to Gitea. The Gitea fork was created specifically because Gogs development was too conservative and the API surface was insufficient for automation use cases.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Verdict:</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CC0000"/>
          <w:sz w:val="22"/>
          <w:szCs w:val="22"/>
        </w:rPr>
        <w:t xml:space="preserve">Not recommended.</w:t>
      </w:r>
      <w:r>
        <w:rPr>
          <w:rFonts w:ascii="Calibri" w:cs="Calibri" w:eastAsia="Calibri" w:hAnsi="Calibri"/>
          <w:b w:val="false"/>
          <w:bCs w:val="false"/>
          <w:i w:val="false"/>
          <w:iCs w:val="false"/>
          <w:strike w:val="false"/>
          <w:color w:val="000000"/>
          <w:sz w:val="22"/>
          <w:szCs w:val="22"/>
        </w:rPr>
        <w:t xml:space="preserve"> Gitea is strictly superior for this use case — same binary simplicity with broader API coverage and active Entra ID integration support.</w:t>
      </w:r>
    </w:p>
    <w:p>
      <w:pPr>
        <w:pStyle w:val="Heading2"/>
        <w:spacing w:after="120" w:before="360" w:line="312" w:lineRule="auto"/>
      </w:pPr>
      <w:r>
        <w:rPr>
          <w:rFonts w:ascii="Calibri" w:cs="Calibri" w:eastAsia="Calibri" w:hAnsi="Calibri"/>
          <w:color w:val="1A1A1A"/>
          <w:sz w:val="36"/>
          <w:szCs w:val="36"/>
        </w:rPr>
        <w:t xml:space="preserve">3.5 Option E: Custom ASP.NET Core API Layer on IIS Git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Approach:</w:t>
      </w:r>
      <w:r>
        <w:rPr>
          <w:rFonts w:ascii="Calibri" w:cs="Calibri" w:eastAsia="Calibri" w:hAnsi="Calibri"/>
          <w:b w:val="false"/>
          <w:bCs w:val="false"/>
          <w:i w:val="false"/>
          <w:iCs w:val="false"/>
          <w:strike w:val="false"/>
          <w:color w:val="000000"/>
          <w:sz w:val="22"/>
          <w:szCs w:val="22"/>
        </w:rPr>
        <w:t xml:space="preserve"> Build a custom REST API using ASP.NET Core that wraps LibGit2Sharp to expose repository operations, then deploy alongside the existing IIS Git handler</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Capabilities:</w:t>
      </w:r>
      <w:r>
        <w:rPr>
          <w:rFonts w:ascii="Calibri" w:cs="Calibri" w:eastAsia="Calibri" w:hAnsi="Calibri"/>
          <w:b w:val="false"/>
          <w:bCs w:val="false"/>
          <w:i w:val="false"/>
          <w:iCs w:val="false"/>
          <w:strike w:val="false"/>
          <w:color w:val="000000"/>
          <w:sz w:val="22"/>
          <w:szCs w:val="22"/>
        </w:rPr>
        <w:t xml:space="preserve"> Maximum control over API surface, tight IIS integration, native .NET ecosystem</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Gaps:</w:t>
      </w:r>
      <w:r>
        <w:rPr>
          <w:rFonts w:ascii="Calibri" w:cs="Calibri" w:eastAsia="Calibri" w:hAnsi="Calibri"/>
          <w:b w:val="false"/>
          <w:bCs w:val="false"/>
          <w:i w:val="false"/>
          <w:iCs w:val="false"/>
          <w:strike w:val="false"/>
          <w:color w:val="000000"/>
          <w:sz w:val="22"/>
          <w:szCs w:val="22"/>
        </w:rPr>
        <w:t xml:space="preserve"> Massive development effort, single point of knowledge failure, no community support, no existing documentation, ongoing maintenance burden for every Git protocol edge case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Verdict:</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CC0000"/>
          <w:sz w:val="22"/>
          <w:szCs w:val="22"/>
        </w:rPr>
        <w:t xml:space="preserve">Only if Gitea is contractually or policy-prohibited.</w:t>
      </w:r>
      <w:r>
        <w:rPr>
          <w:rFonts w:ascii="Calibri" w:cs="Calibri" w:eastAsia="Calibri" w:hAnsi="Calibri"/>
          <w:b w:val="false"/>
          <w:bCs w:val="false"/>
          <w:i w:val="false"/>
          <w:iCs w:val="false"/>
          <w:strike w:val="false"/>
          <w:color w:val="000000"/>
          <w:sz w:val="22"/>
          <w:szCs w:val="22"/>
        </w:rPr>
        <w:t xml:space="preserve"> This option exists as a fallback if organizational security policy explicitly bans open-source application servers. Otherwise, it is reinventing a solved problem.</w:t>
      </w:r>
    </w:p>
    <w:p>
      <w:pPr>
        <w:pStyle w:val="Heading2"/>
        <w:spacing w:after="120" w:before="360" w:line="312" w:lineRule="auto"/>
      </w:pPr>
      <w:r>
        <w:rPr>
          <w:rFonts w:ascii="Calibri" w:cs="Calibri" w:eastAsia="Calibri" w:hAnsi="Calibri"/>
          <w:color w:val="1A1A1A"/>
          <w:sz w:val="36"/>
          <w:szCs w:val="36"/>
        </w:rPr>
        <w:t xml:space="preserve">3.6 Comparison Matrix</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2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Capability</w:t>
            </w:r>
          </w:p>
        </w:tc>
        <w:tc>
          <w:tcPr>
            <w:tcW w:type="pct" w:w="1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 IIS Only</w:t>
            </w:r>
          </w:p>
        </w:tc>
        <w:tc>
          <w:tcPr>
            <w:tcW w:type="pct" w:w="1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B: Gitea+IIS</w:t>
            </w:r>
          </w:p>
        </w:tc>
        <w:tc>
          <w:tcPr>
            <w:tcW w:type="pct" w:w="1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 AzDO Server</w:t>
            </w:r>
          </w:p>
        </w:tc>
        <w:tc>
          <w:tcPr>
            <w:tcW w:type="pct" w:w="1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 Gogs</w:t>
            </w:r>
          </w:p>
        </w:tc>
        <w:tc>
          <w:tcPr>
            <w:tcW w:type="pct" w:w="1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 Custom API</w:t>
            </w:r>
          </w:p>
        </w:tc>
      </w:tr>
      <w:tr>
        <w:trPr>
          <w:tblHeader w:val="false"/>
        </w:trPr>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Git Smart HTTP</w:t>
            </w:r>
          </w:p>
        </w:tc>
        <w:tc>
          <w:tcPr>
            <w:tcW w:type="pct" w:w="15%"/>
            <w:tcMar>
              <w:top w:type="dxa" w:w="90"/>
              <w:left w:type="dxa" w:w="120"/>
              <w:bottom w:type="dxa" w:w="90"/>
              <w:right w:type="dxa" w:w="120"/>
            </w:tcMar>
          </w:tcPr>
          <w:p>
            <w:r>
              <w:rPr>
                <w:rFonts w:ascii="Calibri" w:cs="Calibri" w:eastAsia="Calibri" w:hAnsi="Calibri"/>
                <w:b/>
                <w:bCs/>
                <w:i w:val="false"/>
                <w:iCs w:val="false"/>
                <w:strike w:val="false"/>
                <w:color w:val="006600"/>
                <w:sz w:val="22"/>
                <w:szCs w:val="22"/>
              </w:rPr>
              <w:t xml:space="preserve">✓</w:t>
            </w:r>
          </w:p>
        </w:tc>
        <w:tc>
          <w:tcPr>
            <w:tcW w:type="pct" w:w="19%"/>
            <w:tcMar>
              <w:top w:type="dxa" w:w="90"/>
              <w:left w:type="dxa" w:w="120"/>
              <w:bottom w:type="dxa" w:w="90"/>
              <w:right w:type="dxa" w:w="120"/>
            </w:tcMar>
          </w:tcPr>
          <w:p>
            <w:r>
              <w:rPr>
                <w:rFonts w:ascii="Calibri" w:cs="Calibri" w:eastAsia="Calibri" w:hAnsi="Calibri"/>
                <w:b/>
                <w:bCs/>
                <w:i w:val="false"/>
                <w:iCs w:val="false"/>
                <w:strike w:val="false"/>
                <w:color w:val="006600"/>
                <w:sz w:val="22"/>
                <w:szCs w:val="22"/>
              </w:rPr>
              <w:t xml:space="preserve">✓</w:t>
            </w:r>
          </w:p>
        </w:tc>
        <w:tc>
          <w:tcPr>
            <w:tcW w:type="pct" w:w="14%"/>
            <w:tcMar>
              <w:top w:type="dxa" w:w="90"/>
              <w:left w:type="dxa" w:w="120"/>
              <w:bottom w:type="dxa" w:w="90"/>
              <w:right w:type="dxa" w:w="120"/>
            </w:tcMar>
          </w:tcPr>
          <w:p>
            <w:r>
              <w:rPr>
                <w:rFonts w:ascii="Calibri" w:cs="Calibri" w:eastAsia="Calibri" w:hAnsi="Calibri"/>
                <w:b/>
                <w:bCs/>
                <w:i w:val="false"/>
                <w:iCs w:val="false"/>
                <w:strike w:val="false"/>
                <w:color w:val="006600"/>
                <w:sz w:val="22"/>
                <w:szCs w:val="22"/>
              </w:rPr>
              <w:t xml:space="preserve">✓</w:t>
            </w:r>
          </w:p>
        </w:tc>
        <w:tc>
          <w:tcPr>
            <w:tcW w:type="pct" w:w="16%"/>
            <w:tcMar>
              <w:top w:type="dxa" w:w="90"/>
              <w:left w:type="dxa" w:w="120"/>
              <w:bottom w:type="dxa" w:w="90"/>
              <w:right w:type="dxa" w:w="120"/>
            </w:tcMar>
          </w:tcPr>
          <w:p>
            <w:r>
              <w:rPr>
                <w:rFonts w:ascii="Calibri" w:cs="Calibri" w:eastAsia="Calibri" w:hAnsi="Calibri"/>
                <w:b/>
                <w:bCs/>
                <w:i w:val="false"/>
                <w:iCs w:val="false"/>
                <w:strike w:val="false"/>
                <w:color w:val="006600"/>
                <w:sz w:val="22"/>
                <w:szCs w:val="22"/>
              </w:rPr>
              <w:t xml:space="preserve">✓</w:t>
            </w:r>
          </w:p>
        </w:tc>
        <w:tc>
          <w:tcPr>
            <w:tcW w:type="pct" w:w="16%"/>
            <w:tcMar>
              <w:top w:type="dxa" w:w="90"/>
              <w:left w:type="dxa" w:w="120"/>
              <w:bottom w:type="dxa" w:w="90"/>
              <w:right w:type="dxa" w:w="120"/>
            </w:tcMar>
          </w:tcPr>
          <w:p>
            <w:r>
              <w:rPr>
                <w:rFonts w:ascii="Calibri" w:cs="Calibri" w:eastAsia="Calibri" w:hAnsi="Calibri"/>
                <w:b/>
                <w:bCs/>
                <w:i w:val="false"/>
                <w:iCs w:val="false"/>
                <w:strike w:val="false"/>
                <w:color w:val="006600"/>
                <w:sz w:val="22"/>
                <w:szCs w:val="22"/>
              </w:rPr>
              <w:t xml:space="preserve">✓</w:t>
            </w:r>
          </w:p>
        </w:tc>
      </w:tr>
      <w:tr>
        <w:trPr>
          <w:tblHeader w:val="false"/>
        </w:trPr>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REST API</w:t>
            </w:r>
          </w:p>
        </w:tc>
        <w:tc>
          <w:tcPr>
            <w:tcW w:type="pct" w:w="15%"/>
            <w:tcMar>
              <w:top w:type="dxa" w:w="90"/>
              <w:left w:type="dxa" w:w="120"/>
              <w:bottom w:type="dxa" w:w="90"/>
              <w:right w:type="dxa" w:w="120"/>
            </w:tcMar>
          </w:tcPr>
          <w:p>
            <w:r>
              <w:rPr>
                <w:rFonts w:ascii="Calibri" w:cs="Calibri" w:eastAsia="Calibri" w:hAnsi="Calibri"/>
                <w:b/>
                <w:bCs/>
                <w:i w:val="false"/>
                <w:iCs w:val="false"/>
                <w:strike w:val="false"/>
                <w:color w:val="CC0000"/>
                <w:sz w:val="22"/>
                <w:szCs w:val="22"/>
              </w:rPr>
              <w:t xml:space="preserve">✗</w:t>
            </w:r>
          </w:p>
        </w:tc>
        <w:tc>
          <w:tcPr>
            <w:tcW w:type="pct" w:w="19%"/>
            <w:tcMar>
              <w:top w:type="dxa" w:w="90"/>
              <w:left w:type="dxa" w:w="120"/>
              <w:bottom w:type="dxa" w:w="90"/>
              <w:right w:type="dxa" w:w="120"/>
            </w:tcMar>
          </w:tcPr>
          <w:p>
            <w:r>
              <w:rPr>
                <w:rFonts w:ascii="Calibri" w:cs="Calibri" w:eastAsia="Calibri" w:hAnsi="Calibri"/>
                <w:b/>
                <w:bCs/>
                <w:i w:val="false"/>
                <w:iCs w:val="false"/>
                <w:strike w:val="false"/>
                <w:color w:val="006600"/>
                <w:sz w:val="22"/>
                <w:szCs w:val="22"/>
              </w:rPr>
              <w:t xml:space="preserve">✓ Full</w:t>
            </w:r>
          </w:p>
        </w:tc>
        <w:tc>
          <w:tcPr>
            <w:tcW w:type="pct" w:w="14%"/>
            <w:tcMar>
              <w:top w:type="dxa" w:w="90"/>
              <w:left w:type="dxa" w:w="120"/>
              <w:bottom w:type="dxa" w:w="90"/>
              <w:right w:type="dxa" w:w="120"/>
            </w:tcMar>
          </w:tcPr>
          <w:p>
            <w:r>
              <w:rPr>
                <w:rFonts w:ascii="Calibri" w:cs="Calibri" w:eastAsia="Calibri" w:hAnsi="Calibri"/>
                <w:b/>
                <w:bCs/>
                <w:i w:val="false"/>
                <w:iCs w:val="false"/>
                <w:strike w:val="false"/>
                <w:color w:val="006600"/>
                <w:sz w:val="22"/>
                <w:szCs w:val="22"/>
              </w:rPr>
              <w:t xml:space="preserve">✓ Full</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Partial</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Custom</w:t>
            </w:r>
          </w:p>
        </w:tc>
      </w:tr>
      <w:tr>
        <w:trPr>
          <w:tblHeader w:val="false"/>
        </w:trPr>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Webhooks</w:t>
            </w:r>
          </w:p>
        </w:tc>
        <w:tc>
          <w:tcPr>
            <w:tcW w:type="pct" w:w="15%"/>
            <w:tcMar>
              <w:top w:type="dxa" w:w="90"/>
              <w:left w:type="dxa" w:w="120"/>
              <w:bottom w:type="dxa" w:w="90"/>
              <w:right w:type="dxa" w:w="120"/>
            </w:tcMar>
          </w:tcPr>
          <w:p>
            <w:r>
              <w:rPr>
                <w:rFonts w:ascii="Calibri" w:cs="Calibri" w:eastAsia="Calibri" w:hAnsi="Calibri"/>
                <w:b/>
                <w:bCs/>
                <w:i w:val="false"/>
                <w:iCs w:val="false"/>
                <w:strike w:val="false"/>
                <w:color w:val="CC0000"/>
                <w:sz w:val="22"/>
                <w:szCs w:val="22"/>
              </w:rPr>
              <w:t xml:space="preserve">✗</w:t>
            </w:r>
          </w:p>
        </w:tc>
        <w:tc>
          <w:tcPr>
            <w:tcW w:type="pct" w:w="19%"/>
            <w:tcMar>
              <w:top w:type="dxa" w:w="90"/>
              <w:left w:type="dxa" w:w="120"/>
              <w:bottom w:type="dxa" w:w="90"/>
              <w:right w:type="dxa" w:w="120"/>
            </w:tcMar>
          </w:tcPr>
          <w:p>
            <w:r>
              <w:rPr>
                <w:rFonts w:ascii="Calibri" w:cs="Calibri" w:eastAsia="Calibri" w:hAnsi="Calibri"/>
                <w:b/>
                <w:bCs/>
                <w:i w:val="false"/>
                <w:iCs w:val="false"/>
                <w:strike w:val="false"/>
                <w:color w:val="006600"/>
                <w:sz w:val="22"/>
                <w:szCs w:val="22"/>
              </w:rPr>
              <w:t xml:space="preserve">✓</w:t>
            </w:r>
          </w:p>
        </w:tc>
        <w:tc>
          <w:tcPr>
            <w:tcW w:type="pct" w:w="14%"/>
            <w:tcMar>
              <w:top w:type="dxa" w:w="90"/>
              <w:left w:type="dxa" w:w="120"/>
              <w:bottom w:type="dxa" w:w="90"/>
              <w:right w:type="dxa" w:w="120"/>
            </w:tcMar>
          </w:tcPr>
          <w:p>
            <w:r>
              <w:rPr>
                <w:rFonts w:ascii="Calibri" w:cs="Calibri" w:eastAsia="Calibri" w:hAnsi="Calibri"/>
                <w:b/>
                <w:bCs/>
                <w:i w:val="false"/>
                <w:iCs w:val="false"/>
                <w:strike w:val="false"/>
                <w:color w:val="006600"/>
                <w:sz w:val="22"/>
                <w:szCs w:val="22"/>
              </w:rPr>
              <w:t xml:space="preserve">✓</w:t>
            </w:r>
          </w:p>
        </w:tc>
        <w:tc>
          <w:tcPr>
            <w:tcW w:type="pct" w:w="16%"/>
            <w:tcMar>
              <w:top w:type="dxa" w:w="90"/>
              <w:left w:type="dxa" w:w="120"/>
              <w:bottom w:type="dxa" w:w="90"/>
              <w:right w:type="dxa" w:w="120"/>
            </w:tcMar>
          </w:tcPr>
          <w:p>
            <w:r>
              <w:rPr>
                <w:rFonts w:ascii="Calibri" w:cs="Calibri" w:eastAsia="Calibri" w:hAnsi="Calibri"/>
                <w:b/>
                <w:bCs/>
                <w:i w:val="false"/>
                <w:iCs w:val="false"/>
                <w:strike w:val="false"/>
                <w:color w:val="006600"/>
                <w:sz w:val="22"/>
                <w:szCs w:val="22"/>
              </w:rPr>
              <w:t xml:space="preserve">✓</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Custom</w:t>
            </w:r>
          </w:p>
        </w:tc>
      </w:tr>
      <w:tr>
        <w:trPr>
          <w:tblHeader w:val="false"/>
        </w:trPr>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AD Authentication</w:t>
            </w:r>
          </w:p>
        </w:tc>
        <w:tc>
          <w:tcPr>
            <w:tcW w:type="pct" w:w="15%"/>
            <w:tcMar>
              <w:top w:type="dxa" w:w="90"/>
              <w:left w:type="dxa" w:w="120"/>
              <w:bottom w:type="dxa" w:w="90"/>
              <w:right w:type="dxa" w:w="120"/>
            </w:tcMar>
          </w:tcPr>
          <w:p>
            <w:r>
              <w:rPr>
                <w:rFonts w:ascii="Calibri" w:cs="Calibri" w:eastAsia="Calibri" w:hAnsi="Calibri"/>
                <w:b/>
                <w:bCs/>
                <w:i w:val="false"/>
                <w:iCs w:val="false"/>
                <w:strike w:val="false"/>
                <w:color w:val="006600"/>
                <w:sz w:val="22"/>
                <w:szCs w:val="22"/>
              </w:rPr>
              <w:t xml:space="preserve">✓</w:t>
            </w:r>
          </w:p>
        </w:tc>
        <w:tc>
          <w:tcPr>
            <w:tcW w:type="pct" w:w="19%"/>
            <w:tcMar>
              <w:top w:type="dxa" w:w="90"/>
              <w:left w:type="dxa" w:w="120"/>
              <w:bottom w:type="dxa" w:w="90"/>
              <w:right w:type="dxa" w:w="120"/>
            </w:tcMar>
          </w:tcPr>
          <w:p>
            <w:r>
              <w:rPr>
                <w:rFonts w:ascii="Calibri" w:cs="Calibri" w:eastAsia="Calibri" w:hAnsi="Calibri"/>
                <w:b/>
                <w:bCs/>
                <w:i w:val="false"/>
                <w:iCs w:val="false"/>
                <w:strike w:val="false"/>
                <w:color w:val="006600"/>
                <w:sz w:val="22"/>
                <w:szCs w:val="22"/>
              </w:rPr>
              <w:t xml:space="preserve">✓ LDAP</w:t>
            </w:r>
          </w:p>
        </w:tc>
        <w:tc>
          <w:tcPr>
            <w:tcW w:type="pct" w:w="14%"/>
            <w:tcMar>
              <w:top w:type="dxa" w:w="90"/>
              <w:left w:type="dxa" w:w="120"/>
              <w:bottom w:type="dxa" w:w="90"/>
              <w:right w:type="dxa" w:w="120"/>
            </w:tcMar>
          </w:tcPr>
          <w:p>
            <w:r>
              <w:rPr>
                <w:rFonts w:ascii="Calibri" w:cs="Calibri" w:eastAsia="Calibri" w:hAnsi="Calibri"/>
                <w:b/>
                <w:bCs/>
                <w:i w:val="false"/>
                <w:iCs w:val="false"/>
                <w:strike w:val="false"/>
                <w:color w:val="006600"/>
                <w:sz w:val="22"/>
                <w:szCs w:val="22"/>
              </w:rPr>
              <w:t xml:space="preserve">✓</w:t>
            </w:r>
          </w:p>
        </w:tc>
        <w:tc>
          <w:tcPr>
            <w:tcW w:type="pct" w:w="16%"/>
            <w:tcMar>
              <w:top w:type="dxa" w:w="90"/>
              <w:left w:type="dxa" w:w="120"/>
              <w:bottom w:type="dxa" w:w="90"/>
              <w:right w:type="dxa" w:w="120"/>
            </w:tcMar>
          </w:tcPr>
          <w:p>
            <w:r>
              <w:rPr>
                <w:rFonts w:ascii="Calibri" w:cs="Calibri" w:eastAsia="Calibri" w:hAnsi="Calibri"/>
                <w:b/>
                <w:bCs/>
                <w:i w:val="false"/>
                <w:iCs w:val="false"/>
                <w:strike w:val="false"/>
                <w:color w:val="006600"/>
                <w:sz w:val="22"/>
                <w:szCs w:val="22"/>
              </w:rPr>
              <w:t xml:space="preserve">✓ LDAP</w:t>
            </w:r>
          </w:p>
        </w:tc>
        <w:tc>
          <w:tcPr>
            <w:tcW w:type="pct" w:w="16%"/>
            <w:tcMar>
              <w:top w:type="dxa" w:w="90"/>
              <w:left w:type="dxa" w:w="120"/>
              <w:bottom w:type="dxa" w:w="90"/>
              <w:right w:type="dxa" w:w="120"/>
            </w:tcMar>
          </w:tcPr>
          <w:p>
            <w:r>
              <w:rPr>
                <w:rFonts w:ascii="Calibri" w:cs="Calibri" w:eastAsia="Calibri" w:hAnsi="Calibri"/>
                <w:b/>
                <w:bCs/>
                <w:i w:val="false"/>
                <w:iCs w:val="false"/>
                <w:strike w:val="false"/>
                <w:color w:val="006600"/>
                <w:sz w:val="22"/>
                <w:szCs w:val="22"/>
              </w:rPr>
              <w:t xml:space="preserve">✓</w:t>
            </w:r>
          </w:p>
        </w:tc>
      </w:tr>
      <w:tr>
        <w:trPr>
          <w:tblHeader w:val="false"/>
        </w:trPr>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Entra ID / OIDC</w:t>
            </w:r>
          </w:p>
        </w:tc>
        <w:tc>
          <w:tcPr>
            <w:tcW w:type="pct" w:w="15%"/>
            <w:tcMar>
              <w:top w:type="dxa" w:w="90"/>
              <w:left w:type="dxa" w:w="120"/>
              <w:bottom w:type="dxa" w:w="90"/>
              <w:right w:type="dxa" w:w="120"/>
            </w:tcMar>
          </w:tcPr>
          <w:p>
            <w:r>
              <w:rPr>
                <w:rFonts w:ascii="Calibri" w:cs="Calibri" w:eastAsia="Calibri" w:hAnsi="Calibri"/>
                <w:b/>
                <w:bCs/>
                <w:i w:val="false"/>
                <w:iCs w:val="false"/>
                <w:strike w:val="false"/>
                <w:color w:val="CC0000"/>
                <w:sz w:val="22"/>
                <w:szCs w:val="22"/>
              </w:rPr>
              <w:t xml:space="preserve">✗</w:t>
            </w:r>
          </w:p>
        </w:tc>
        <w:tc>
          <w:tcPr>
            <w:tcW w:type="pct" w:w="19%"/>
            <w:tcMar>
              <w:top w:type="dxa" w:w="90"/>
              <w:left w:type="dxa" w:w="120"/>
              <w:bottom w:type="dxa" w:w="90"/>
              <w:right w:type="dxa" w:w="120"/>
            </w:tcMar>
          </w:tcPr>
          <w:p>
            <w:r>
              <w:rPr>
                <w:rFonts w:ascii="Calibri" w:cs="Calibri" w:eastAsia="Calibri" w:hAnsi="Calibri"/>
                <w:b/>
                <w:bCs/>
                <w:i w:val="false"/>
                <w:iCs w:val="false"/>
                <w:strike w:val="false"/>
                <w:color w:val="006600"/>
                <w:sz w:val="22"/>
                <w:szCs w:val="22"/>
              </w:rPr>
              <w:t xml:space="preserve">✓</w:t>
            </w:r>
          </w:p>
        </w:tc>
        <w:tc>
          <w:tcPr>
            <w:tcW w:type="pct" w:w="14%"/>
            <w:tcMar>
              <w:top w:type="dxa" w:w="90"/>
              <w:left w:type="dxa" w:w="120"/>
              <w:bottom w:type="dxa" w:w="90"/>
              <w:right w:type="dxa" w:w="120"/>
            </w:tcMar>
          </w:tcPr>
          <w:p>
            <w:r>
              <w:rPr>
                <w:rFonts w:ascii="Calibri" w:cs="Calibri" w:eastAsia="Calibri" w:hAnsi="Calibri"/>
                <w:b/>
                <w:bCs/>
                <w:i w:val="false"/>
                <w:iCs w:val="false"/>
                <w:strike w:val="false"/>
                <w:color w:val="006600"/>
                <w:sz w:val="22"/>
                <w:szCs w:val="22"/>
              </w:rPr>
              <w:t xml:space="preserve">✓</w:t>
            </w:r>
          </w:p>
        </w:tc>
        <w:tc>
          <w:tcPr>
            <w:tcW w:type="pct" w:w="16%"/>
            <w:tcMar>
              <w:top w:type="dxa" w:w="90"/>
              <w:left w:type="dxa" w:w="120"/>
              <w:bottom w:type="dxa" w:w="90"/>
              <w:right w:type="dxa" w:w="120"/>
            </w:tcMar>
          </w:tcPr>
          <w:p>
            <w:r>
              <w:rPr>
                <w:rFonts w:ascii="Calibri" w:cs="Calibri" w:eastAsia="Calibri" w:hAnsi="Calibri"/>
                <w:b/>
                <w:bCs/>
                <w:i w:val="false"/>
                <w:iCs w:val="false"/>
                <w:strike w:val="false"/>
                <w:color w:val="CC0000"/>
                <w:sz w:val="22"/>
                <w:szCs w:val="22"/>
              </w:rPr>
              <w:t xml:space="preserve">✗</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Custom</w:t>
            </w:r>
          </w:p>
        </w:tc>
      </w:tr>
      <w:tr>
        <w:trPr>
          <w:tblHeader w:val="false"/>
        </w:trPr>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API Tokens</w:t>
            </w:r>
          </w:p>
        </w:tc>
        <w:tc>
          <w:tcPr>
            <w:tcW w:type="pct" w:w="15%"/>
            <w:tcMar>
              <w:top w:type="dxa" w:w="90"/>
              <w:left w:type="dxa" w:w="120"/>
              <w:bottom w:type="dxa" w:w="90"/>
              <w:right w:type="dxa" w:w="120"/>
            </w:tcMar>
          </w:tcPr>
          <w:p>
            <w:r>
              <w:rPr>
                <w:rFonts w:ascii="Calibri" w:cs="Calibri" w:eastAsia="Calibri" w:hAnsi="Calibri"/>
                <w:b/>
                <w:bCs/>
                <w:i w:val="false"/>
                <w:iCs w:val="false"/>
                <w:strike w:val="false"/>
                <w:color w:val="CC0000"/>
                <w:sz w:val="22"/>
                <w:szCs w:val="22"/>
              </w:rPr>
              <w:t xml:space="preserve">✗</w:t>
            </w:r>
          </w:p>
        </w:tc>
        <w:tc>
          <w:tcPr>
            <w:tcW w:type="pct" w:w="19%"/>
            <w:tcMar>
              <w:top w:type="dxa" w:w="90"/>
              <w:left w:type="dxa" w:w="120"/>
              <w:bottom w:type="dxa" w:w="90"/>
              <w:right w:type="dxa" w:w="120"/>
            </w:tcMar>
          </w:tcPr>
          <w:p>
            <w:r>
              <w:rPr>
                <w:rFonts w:ascii="Calibri" w:cs="Calibri" w:eastAsia="Calibri" w:hAnsi="Calibri"/>
                <w:b/>
                <w:bCs/>
                <w:i w:val="false"/>
                <w:iCs w:val="false"/>
                <w:strike w:val="false"/>
                <w:color w:val="006600"/>
                <w:sz w:val="22"/>
                <w:szCs w:val="22"/>
              </w:rPr>
              <w:t xml:space="preserve">✓</w:t>
            </w:r>
          </w:p>
        </w:tc>
        <w:tc>
          <w:tcPr>
            <w:tcW w:type="pct" w:w="14%"/>
            <w:tcMar>
              <w:top w:type="dxa" w:w="90"/>
              <w:left w:type="dxa" w:w="120"/>
              <w:bottom w:type="dxa" w:w="90"/>
              <w:right w:type="dxa" w:w="120"/>
            </w:tcMar>
          </w:tcPr>
          <w:p>
            <w:r>
              <w:rPr>
                <w:rFonts w:ascii="Calibri" w:cs="Calibri" w:eastAsia="Calibri" w:hAnsi="Calibri"/>
                <w:b/>
                <w:bCs/>
                <w:i w:val="false"/>
                <w:iCs w:val="false"/>
                <w:strike w:val="false"/>
                <w:color w:val="006600"/>
                <w:sz w:val="22"/>
                <w:szCs w:val="22"/>
              </w:rPr>
              <w:t xml:space="preserve">✓</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Basic</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Custom</w:t>
            </w:r>
          </w:p>
        </w:tc>
      </w:tr>
      <w:tr>
        <w:trPr>
          <w:tblHeader w:val="false"/>
        </w:trPr>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Repo Management API</w:t>
            </w:r>
          </w:p>
        </w:tc>
        <w:tc>
          <w:tcPr>
            <w:tcW w:type="pct" w:w="15%"/>
            <w:tcMar>
              <w:top w:type="dxa" w:w="90"/>
              <w:left w:type="dxa" w:w="120"/>
              <w:bottom w:type="dxa" w:w="90"/>
              <w:right w:type="dxa" w:w="120"/>
            </w:tcMar>
          </w:tcPr>
          <w:p>
            <w:r>
              <w:rPr>
                <w:rFonts w:ascii="Calibri" w:cs="Calibri" w:eastAsia="Calibri" w:hAnsi="Calibri"/>
                <w:b/>
                <w:bCs/>
                <w:i w:val="false"/>
                <w:iCs w:val="false"/>
                <w:strike w:val="false"/>
                <w:color w:val="CC0000"/>
                <w:sz w:val="22"/>
                <w:szCs w:val="22"/>
              </w:rPr>
              <w:t xml:space="preserve">✗</w:t>
            </w:r>
          </w:p>
        </w:tc>
        <w:tc>
          <w:tcPr>
            <w:tcW w:type="pct" w:w="19%"/>
            <w:tcMar>
              <w:top w:type="dxa" w:w="90"/>
              <w:left w:type="dxa" w:w="120"/>
              <w:bottom w:type="dxa" w:w="90"/>
              <w:right w:type="dxa" w:w="120"/>
            </w:tcMar>
          </w:tcPr>
          <w:p>
            <w:r>
              <w:rPr>
                <w:rFonts w:ascii="Calibri" w:cs="Calibri" w:eastAsia="Calibri" w:hAnsi="Calibri"/>
                <w:b/>
                <w:bCs/>
                <w:i w:val="false"/>
                <w:iCs w:val="false"/>
                <w:strike w:val="false"/>
                <w:color w:val="006600"/>
                <w:sz w:val="22"/>
                <w:szCs w:val="22"/>
              </w:rPr>
              <w:t xml:space="preserve">✓</w:t>
            </w:r>
          </w:p>
        </w:tc>
        <w:tc>
          <w:tcPr>
            <w:tcW w:type="pct" w:w="14%"/>
            <w:tcMar>
              <w:top w:type="dxa" w:w="90"/>
              <w:left w:type="dxa" w:w="120"/>
              <w:bottom w:type="dxa" w:w="90"/>
              <w:right w:type="dxa" w:w="120"/>
            </w:tcMar>
          </w:tcPr>
          <w:p>
            <w:r>
              <w:rPr>
                <w:rFonts w:ascii="Calibri" w:cs="Calibri" w:eastAsia="Calibri" w:hAnsi="Calibri"/>
                <w:b/>
                <w:bCs/>
                <w:i w:val="false"/>
                <w:iCs w:val="false"/>
                <w:strike w:val="false"/>
                <w:color w:val="006600"/>
                <w:sz w:val="22"/>
                <w:szCs w:val="22"/>
              </w:rPr>
              <w:t xml:space="preserve">✓</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Partial</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Custom</w:t>
            </w:r>
          </w:p>
        </w:tc>
      </w:tr>
      <w:tr>
        <w:trPr>
          <w:tblHeader w:val="false"/>
        </w:trPr>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Code Browsing API</w:t>
            </w:r>
          </w:p>
        </w:tc>
        <w:tc>
          <w:tcPr>
            <w:tcW w:type="pct" w:w="15%"/>
            <w:tcMar>
              <w:top w:type="dxa" w:w="90"/>
              <w:left w:type="dxa" w:w="120"/>
              <w:bottom w:type="dxa" w:w="90"/>
              <w:right w:type="dxa" w:w="120"/>
            </w:tcMar>
          </w:tcPr>
          <w:p>
            <w:r>
              <w:rPr>
                <w:rFonts w:ascii="Calibri" w:cs="Calibri" w:eastAsia="Calibri" w:hAnsi="Calibri"/>
                <w:b/>
                <w:bCs/>
                <w:i w:val="false"/>
                <w:iCs w:val="false"/>
                <w:strike w:val="false"/>
                <w:color w:val="CC0000"/>
                <w:sz w:val="22"/>
                <w:szCs w:val="22"/>
              </w:rPr>
              <w:t xml:space="preserve">✗</w:t>
            </w:r>
          </w:p>
        </w:tc>
        <w:tc>
          <w:tcPr>
            <w:tcW w:type="pct" w:w="19%"/>
            <w:tcMar>
              <w:top w:type="dxa" w:w="90"/>
              <w:left w:type="dxa" w:w="120"/>
              <w:bottom w:type="dxa" w:w="90"/>
              <w:right w:type="dxa" w:w="120"/>
            </w:tcMar>
          </w:tcPr>
          <w:p>
            <w:r>
              <w:rPr>
                <w:rFonts w:ascii="Calibri" w:cs="Calibri" w:eastAsia="Calibri" w:hAnsi="Calibri"/>
                <w:b/>
                <w:bCs/>
                <w:i w:val="false"/>
                <w:iCs w:val="false"/>
                <w:strike w:val="false"/>
                <w:color w:val="006600"/>
                <w:sz w:val="22"/>
                <w:szCs w:val="22"/>
              </w:rPr>
              <w:t xml:space="preserve">✓</w:t>
            </w:r>
          </w:p>
        </w:tc>
        <w:tc>
          <w:tcPr>
            <w:tcW w:type="pct" w:w="14%"/>
            <w:tcMar>
              <w:top w:type="dxa" w:w="90"/>
              <w:left w:type="dxa" w:w="120"/>
              <w:bottom w:type="dxa" w:w="90"/>
              <w:right w:type="dxa" w:w="120"/>
            </w:tcMar>
          </w:tcPr>
          <w:p>
            <w:r>
              <w:rPr>
                <w:rFonts w:ascii="Calibri" w:cs="Calibri" w:eastAsia="Calibri" w:hAnsi="Calibri"/>
                <w:b/>
                <w:bCs/>
                <w:i w:val="false"/>
                <w:iCs w:val="false"/>
                <w:strike w:val="false"/>
                <w:color w:val="006600"/>
                <w:sz w:val="22"/>
                <w:szCs w:val="22"/>
              </w:rPr>
              <w:t xml:space="preserve">✓</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Limited</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Custom</w:t>
            </w:r>
          </w:p>
        </w:tc>
      </w:tr>
      <w:tr>
        <w:trPr>
          <w:tblHeader w:val="false"/>
        </w:trPr>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Web UI</w:t>
            </w:r>
          </w:p>
        </w:tc>
        <w:tc>
          <w:tcPr>
            <w:tcW w:type="pct" w:w="15%"/>
            <w:tcMar>
              <w:top w:type="dxa" w:w="90"/>
              <w:left w:type="dxa" w:w="120"/>
              <w:bottom w:type="dxa" w:w="90"/>
              <w:right w:type="dxa" w:w="120"/>
            </w:tcMar>
          </w:tcPr>
          <w:p>
            <w:r>
              <w:rPr>
                <w:rFonts w:ascii="Calibri" w:cs="Calibri" w:eastAsia="Calibri" w:hAnsi="Calibri"/>
                <w:b/>
                <w:bCs/>
                <w:i w:val="false"/>
                <w:iCs w:val="false"/>
                <w:strike w:val="false"/>
                <w:color w:val="CC0000"/>
                <w:sz w:val="22"/>
                <w:szCs w:val="22"/>
              </w:rPr>
              <w:t xml:space="preserve">✗</w:t>
            </w:r>
          </w:p>
        </w:tc>
        <w:tc>
          <w:tcPr>
            <w:tcW w:type="pct" w:w="19%"/>
            <w:tcMar>
              <w:top w:type="dxa" w:w="90"/>
              <w:left w:type="dxa" w:w="120"/>
              <w:bottom w:type="dxa" w:w="90"/>
              <w:right w:type="dxa" w:w="120"/>
            </w:tcMar>
          </w:tcPr>
          <w:p>
            <w:r>
              <w:rPr>
                <w:rFonts w:ascii="Calibri" w:cs="Calibri" w:eastAsia="Calibri" w:hAnsi="Calibri"/>
                <w:b/>
                <w:bCs/>
                <w:i w:val="false"/>
                <w:iCs w:val="false"/>
                <w:strike w:val="false"/>
                <w:color w:val="006600"/>
                <w:sz w:val="22"/>
                <w:szCs w:val="22"/>
              </w:rPr>
              <w:t xml:space="preserve">✓</w:t>
            </w:r>
          </w:p>
        </w:tc>
        <w:tc>
          <w:tcPr>
            <w:tcW w:type="pct" w:w="14%"/>
            <w:tcMar>
              <w:top w:type="dxa" w:w="90"/>
              <w:left w:type="dxa" w:w="120"/>
              <w:bottom w:type="dxa" w:w="90"/>
              <w:right w:type="dxa" w:w="120"/>
            </w:tcMar>
          </w:tcPr>
          <w:p>
            <w:r>
              <w:rPr>
                <w:rFonts w:ascii="Calibri" w:cs="Calibri" w:eastAsia="Calibri" w:hAnsi="Calibri"/>
                <w:b/>
                <w:bCs/>
                <w:i w:val="false"/>
                <w:iCs w:val="false"/>
                <w:strike w:val="false"/>
                <w:color w:val="006600"/>
                <w:sz w:val="22"/>
                <w:szCs w:val="22"/>
              </w:rPr>
              <w:t xml:space="preserve">✓</w:t>
            </w:r>
          </w:p>
        </w:tc>
        <w:tc>
          <w:tcPr>
            <w:tcW w:type="pct" w:w="16%"/>
            <w:tcMar>
              <w:top w:type="dxa" w:w="90"/>
              <w:left w:type="dxa" w:w="120"/>
              <w:bottom w:type="dxa" w:w="90"/>
              <w:right w:type="dxa" w:w="120"/>
            </w:tcMar>
          </w:tcPr>
          <w:p>
            <w:r>
              <w:rPr>
                <w:rFonts w:ascii="Calibri" w:cs="Calibri" w:eastAsia="Calibri" w:hAnsi="Calibri"/>
                <w:b/>
                <w:bCs/>
                <w:i w:val="false"/>
                <w:iCs w:val="false"/>
                <w:strike w:val="false"/>
                <w:color w:val="006600"/>
                <w:sz w:val="22"/>
                <w:szCs w:val="22"/>
              </w:rPr>
              <w:t xml:space="preserve">✓</w:t>
            </w:r>
          </w:p>
        </w:tc>
        <w:tc>
          <w:tcPr>
            <w:tcW w:type="pct" w:w="16%"/>
            <w:tcMar>
              <w:top w:type="dxa" w:w="90"/>
              <w:left w:type="dxa" w:w="120"/>
              <w:bottom w:type="dxa" w:w="90"/>
              <w:right w:type="dxa" w:w="120"/>
            </w:tcMar>
          </w:tcPr>
          <w:p>
            <w:r>
              <w:rPr>
                <w:rFonts w:ascii="Calibri" w:cs="Calibri" w:eastAsia="Calibri" w:hAnsi="Calibri"/>
                <w:b/>
                <w:bCs/>
                <w:i w:val="false"/>
                <w:iCs w:val="false"/>
                <w:strike w:val="false"/>
                <w:color w:val="CC0000"/>
                <w:sz w:val="22"/>
                <w:szCs w:val="22"/>
              </w:rPr>
              <w:t xml:space="preserve">✗</w:t>
            </w:r>
          </w:p>
        </w:tc>
      </w:tr>
      <w:tr>
        <w:trPr>
          <w:tblHeader w:val="false"/>
        </w:trPr>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Windows Service</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N/A (IIS)</w:t>
            </w:r>
          </w:p>
        </w:tc>
        <w:tc>
          <w:tcPr>
            <w:tcW w:type="pct" w:w="19%"/>
            <w:tcMar>
              <w:top w:type="dxa" w:w="90"/>
              <w:left w:type="dxa" w:w="120"/>
              <w:bottom w:type="dxa" w:w="90"/>
              <w:right w:type="dxa" w:w="120"/>
            </w:tcMar>
          </w:tcPr>
          <w:p>
            <w:r>
              <w:rPr>
                <w:rFonts w:ascii="Calibri" w:cs="Calibri" w:eastAsia="Calibri" w:hAnsi="Calibri"/>
                <w:b/>
                <w:bCs/>
                <w:i w:val="false"/>
                <w:iCs w:val="false"/>
                <w:strike w:val="false"/>
                <w:color w:val="006600"/>
                <w:sz w:val="22"/>
                <w:szCs w:val="22"/>
              </w:rPr>
              <w:t xml:space="preserve">✓ NSSM</w:t>
            </w:r>
          </w:p>
        </w:tc>
        <w:tc>
          <w:tcPr>
            <w:tcW w:type="pct" w:w="14%"/>
            <w:tcMar>
              <w:top w:type="dxa" w:w="90"/>
              <w:left w:type="dxa" w:w="120"/>
              <w:bottom w:type="dxa" w:w="90"/>
              <w:right w:type="dxa" w:w="120"/>
            </w:tcMar>
          </w:tcPr>
          <w:p>
            <w:r>
              <w:rPr>
                <w:rFonts w:ascii="Calibri" w:cs="Calibri" w:eastAsia="Calibri" w:hAnsi="Calibri"/>
                <w:b/>
                <w:bCs/>
                <w:i w:val="false"/>
                <w:iCs w:val="false"/>
                <w:strike w:val="false"/>
                <w:color w:val="006600"/>
                <w:sz w:val="22"/>
                <w:szCs w:val="22"/>
              </w:rPr>
              <w:t xml:space="preserve">✓</w:t>
            </w:r>
          </w:p>
        </w:tc>
        <w:tc>
          <w:tcPr>
            <w:tcW w:type="pct" w:w="16%"/>
            <w:tcMar>
              <w:top w:type="dxa" w:w="90"/>
              <w:left w:type="dxa" w:w="120"/>
              <w:bottom w:type="dxa" w:w="90"/>
              <w:right w:type="dxa" w:w="120"/>
            </w:tcMar>
          </w:tcPr>
          <w:p>
            <w:r>
              <w:rPr>
                <w:rFonts w:ascii="Calibri" w:cs="Calibri" w:eastAsia="Calibri" w:hAnsi="Calibri"/>
                <w:b/>
                <w:bCs/>
                <w:i w:val="false"/>
                <w:iCs w:val="false"/>
                <w:strike w:val="false"/>
                <w:color w:val="006600"/>
                <w:sz w:val="22"/>
                <w:szCs w:val="22"/>
              </w:rPr>
              <w:t xml:space="preserve">✓ NSSM</w:t>
            </w:r>
          </w:p>
        </w:tc>
        <w:tc>
          <w:tcPr>
            <w:tcW w:type="pct" w:w="16%"/>
            <w:tcMar>
              <w:top w:type="dxa" w:w="90"/>
              <w:left w:type="dxa" w:w="120"/>
              <w:bottom w:type="dxa" w:w="90"/>
              <w:right w:type="dxa" w:w="120"/>
            </w:tcMar>
          </w:tcPr>
          <w:p>
            <w:r>
              <w:rPr>
                <w:rFonts w:ascii="Calibri" w:cs="Calibri" w:eastAsia="Calibri" w:hAnsi="Calibri"/>
                <w:b/>
                <w:bCs/>
                <w:i w:val="false"/>
                <w:iCs w:val="false"/>
                <w:strike w:val="false"/>
                <w:color w:val="006600"/>
                <w:sz w:val="22"/>
                <w:szCs w:val="22"/>
              </w:rPr>
              <w:t xml:space="preserve">✓ IIS</w:t>
            </w:r>
          </w:p>
        </w:tc>
      </w:tr>
      <w:tr>
        <w:trPr>
          <w:tblHeader w:val="false"/>
        </w:trPr>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Install Complexity</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Low</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Low</w:t>
            </w:r>
          </w:p>
        </w:tc>
        <w:tc>
          <w:tcPr>
            <w:tcW w:type="pct" w:w="14%"/>
            <w:tcMar>
              <w:top w:type="dxa" w:w="90"/>
              <w:left w:type="dxa" w:w="120"/>
              <w:bottom w:type="dxa" w:w="90"/>
              <w:right w:type="dxa" w:w="120"/>
            </w:tcMar>
          </w:tcPr>
          <w:p>
            <w:r>
              <w:rPr>
                <w:rFonts w:ascii="Calibri" w:cs="Calibri" w:eastAsia="Calibri" w:hAnsi="Calibri"/>
                <w:b/>
                <w:bCs/>
                <w:i w:val="false"/>
                <w:iCs w:val="false"/>
                <w:strike w:val="false"/>
                <w:color w:val="CC0000"/>
                <w:sz w:val="22"/>
                <w:szCs w:val="22"/>
              </w:rPr>
              <w:t xml:space="preserve">High</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Low</w:t>
            </w:r>
          </w:p>
        </w:tc>
        <w:tc>
          <w:tcPr>
            <w:tcW w:type="pct" w:w="16%"/>
            <w:tcMar>
              <w:top w:type="dxa" w:w="90"/>
              <w:left w:type="dxa" w:w="120"/>
              <w:bottom w:type="dxa" w:w="90"/>
              <w:right w:type="dxa" w:w="120"/>
            </w:tcMar>
          </w:tcPr>
          <w:p>
            <w:r>
              <w:rPr>
                <w:rFonts w:ascii="Calibri" w:cs="Calibri" w:eastAsia="Calibri" w:hAnsi="Calibri"/>
                <w:b/>
                <w:bCs/>
                <w:i w:val="false"/>
                <w:iCs w:val="false"/>
                <w:strike w:val="false"/>
                <w:color w:val="CC0000"/>
                <w:sz w:val="22"/>
                <w:szCs w:val="22"/>
              </w:rPr>
              <w:t xml:space="preserve">Very High</w:t>
            </w:r>
          </w:p>
        </w:tc>
      </w:tr>
      <w:tr>
        <w:trPr>
          <w:tblHeader w:val="false"/>
        </w:trPr>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RAM Requirement</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&lt; 256 MB</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512 MB – 2 GB</w:t>
            </w:r>
          </w:p>
        </w:tc>
        <w:tc>
          <w:tcPr>
            <w:tcW w:type="pct" w:w="14%"/>
            <w:tcMar>
              <w:top w:type="dxa" w:w="90"/>
              <w:left w:type="dxa" w:w="120"/>
              <w:bottom w:type="dxa" w:w="90"/>
              <w:right w:type="dxa" w:w="120"/>
            </w:tcMar>
          </w:tcPr>
          <w:p>
            <w:r>
              <w:rPr>
                <w:rFonts w:ascii="Calibri" w:cs="Calibri" w:eastAsia="Calibri" w:hAnsi="Calibri"/>
                <w:b/>
                <w:bCs/>
                <w:i w:val="false"/>
                <w:iCs w:val="false"/>
                <w:strike w:val="false"/>
                <w:color w:val="CC0000"/>
                <w:sz w:val="22"/>
                <w:szCs w:val="22"/>
              </w:rPr>
              <w:t xml:space="preserve">16 GB+</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256 MB – 1 GB</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512 MB – 1 GB</w:t>
            </w:r>
          </w:p>
        </w:tc>
      </w:tr>
      <w:tr>
        <w:trPr>
          <w:tblHeader w:val="false"/>
        </w:trPr>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External Database</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None</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None (SQLite)</w:t>
            </w:r>
          </w:p>
        </w:tc>
        <w:tc>
          <w:tcPr>
            <w:tcW w:type="pct" w:w="14%"/>
            <w:tcMar>
              <w:top w:type="dxa" w:w="90"/>
              <w:left w:type="dxa" w:w="120"/>
              <w:bottom w:type="dxa" w:w="90"/>
              <w:right w:type="dxa" w:w="120"/>
            </w:tcMar>
          </w:tcPr>
          <w:p>
            <w:r>
              <w:rPr>
                <w:rFonts w:ascii="Calibri" w:cs="Calibri" w:eastAsia="Calibri" w:hAnsi="Calibri"/>
                <w:b/>
                <w:bCs/>
                <w:i w:val="false"/>
                <w:iCs w:val="false"/>
                <w:strike w:val="false"/>
                <w:color w:val="CC0000"/>
                <w:sz w:val="22"/>
                <w:szCs w:val="22"/>
              </w:rPr>
              <w:t xml:space="preserve">SQL Server</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None (SQLite)</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None</w:t>
            </w:r>
          </w:p>
        </w:tc>
      </w:tr>
      <w:tr>
        <w:trPr>
          <w:tblHeader w:val="false"/>
        </w:trPr>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License</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Git: GPL-2.0</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MIT</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Commercial</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MIT</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Custom</w:t>
            </w:r>
          </w:p>
        </w:tc>
      </w:tr>
      <w:tr>
        <w:trPr>
          <w:tblHeader w:val="false"/>
        </w:trPr>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Community Support</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Git core</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54k+ GitHub stars</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Microsoft</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Declining</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None</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UIAO Fit Score</w:t>
            </w:r>
          </w:p>
        </w:tc>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3/12</w:t>
            </w:r>
          </w:p>
        </w:tc>
        <w:tc>
          <w:tcPr>
            <w:tcW w:type="pct" w:w="1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12/12</w:t>
            </w:r>
          </w:p>
        </w:tc>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12/12</w:t>
            </w:r>
          </w:p>
        </w:tc>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7/12</w:t>
            </w:r>
          </w:p>
        </w:tc>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9/12</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Recommendation</w:t>
            </w:r>
          </w:p>
        </w:tc>
        <w:tc>
          <w:tcPr>
            <w:tcW w:type="pct" w:w="15%"/>
            <w:tcMar>
              <w:top w:type="dxa" w:w="90"/>
              <w:left w:type="dxa" w:w="120"/>
              <w:bottom w:type="dxa" w:w="90"/>
              <w:right w:type="dxa" w:w="120"/>
            </w:tcMar>
          </w:tcPr>
          <w:p>
            <w:r>
              <w:rPr>
                <w:rFonts w:ascii="Calibri" w:cs="Calibri" w:eastAsia="Calibri" w:hAnsi="Calibri"/>
                <w:b/>
                <w:bCs/>
                <w:i w:val="false"/>
                <w:iCs w:val="false"/>
                <w:strike w:val="false"/>
                <w:color w:val="CC0000"/>
                <w:sz w:val="22"/>
                <w:szCs w:val="22"/>
              </w:rPr>
              <w:t xml:space="preserve">Insufficient</w:t>
            </w:r>
          </w:p>
        </w:tc>
        <w:tc>
          <w:tcPr>
            <w:tcW w:type="pct" w:w="19%"/>
            <w:tcMar>
              <w:top w:type="dxa" w:w="90"/>
              <w:left w:type="dxa" w:w="120"/>
              <w:bottom w:type="dxa" w:w="90"/>
              <w:right w:type="dxa" w:w="120"/>
            </w:tcMar>
          </w:tcPr>
          <w:p>
            <w:r>
              <w:rPr>
                <w:rFonts w:ascii="Calibri" w:cs="Calibri" w:eastAsia="Calibri" w:hAnsi="Calibri"/>
                <w:b/>
                <w:bCs/>
                <w:i w:val="false"/>
                <w:iCs w:val="false"/>
                <w:strike w:val="false"/>
                <w:color w:val="2B5797"/>
                <w:sz w:val="22"/>
                <w:szCs w:val="22"/>
              </w:rPr>
              <w:t xml:space="preserve">RECOMMENDED</w:t>
            </w:r>
          </w:p>
        </w:tc>
        <w:tc>
          <w:tcPr>
            <w:tcW w:type="pct" w:w="14%"/>
            <w:tcMar>
              <w:top w:type="dxa" w:w="90"/>
              <w:left w:type="dxa" w:w="120"/>
              <w:bottom w:type="dxa" w:w="90"/>
              <w:right w:type="dxa" w:w="120"/>
            </w:tcMar>
          </w:tcPr>
          <w:p>
            <w:r>
              <w:rPr>
                <w:rFonts w:ascii="Calibri" w:cs="Calibri" w:eastAsia="Calibri" w:hAnsi="Calibri"/>
                <w:b/>
                <w:bCs/>
                <w:i w:val="false"/>
                <w:iCs w:val="false"/>
                <w:strike w:val="false"/>
                <w:color w:val="CC0000"/>
                <w:sz w:val="22"/>
                <w:szCs w:val="22"/>
              </w:rPr>
              <w:t xml:space="preserve">Overkill</w:t>
            </w:r>
          </w:p>
        </w:tc>
        <w:tc>
          <w:tcPr>
            <w:tcW w:type="pct" w:w="16%"/>
            <w:tcMar>
              <w:top w:type="dxa" w:w="90"/>
              <w:left w:type="dxa" w:w="120"/>
              <w:bottom w:type="dxa" w:w="90"/>
              <w:right w:type="dxa" w:w="120"/>
            </w:tcMar>
          </w:tcPr>
          <w:p>
            <w:r>
              <w:rPr>
                <w:rFonts w:ascii="Calibri" w:cs="Calibri" w:eastAsia="Calibri" w:hAnsi="Calibri"/>
                <w:b/>
                <w:bCs/>
                <w:i w:val="false"/>
                <w:iCs w:val="false"/>
                <w:strike w:val="false"/>
                <w:color w:val="CC0000"/>
                <w:sz w:val="22"/>
                <w:szCs w:val="22"/>
              </w:rPr>
              <w:t xml:space="preserve">Inferior</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Fallback only</w:t>
            </w:r>
          </w:p>
        </w:tc>
      </w:tr>
    </w:tbl>
    <w:p>
      <w:pPr>
        <w:spacing w:after="200" w:before="0"/>
      </w:pPr>
    </w:p>
    <w:p>
      <w:pPr>
        <w:pStyle w:val="Heading1"/>
        <w:spacing w:after="120" w:before="480" w:line="312" w:lineRule="auto"/>
      </w:pPr>
      <w:r>
        <w:rPr>
          <w:rFonts w:ascii="Calibri" w:cs="Calibri" w:eastAsia="Calibri" w:hAnsi="Calibri"/>
          <w:color w:val="1A1A1A"/>
          <w:sz w:val="48"/>
          <w:szCs w:val="48"/>
        </w:rPr>
        <w:t xml:space="preserve">4. Recommended Architecture — Gitea + IIS Hybrid</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recommended architecture layers Gitea behind IIS on a single Windows Server 2025 instance. Each layer has a distinct responsibility with no overlap.</w:t>
      </w:r>
    </w:p>
    <w:p>
      <w:pPr>
        <w:pStyle w:val="Heading2"/>
        <w:spacing w:after="120" w:before="360" w:line="312" w:lineRule="auto"/>
      </w:pPr>
      <w:r>
        <w:rPr>
          <w:rFonts w:ascii="Calibri" w:cs="Calibri" w:eastAsia="Calibri" w:hAnsi="Calibri"/>
          <w:color w:val="1A1A1A"/>
          <w:sz w:val="36"/>
          <w:szCs w:val="36"/>
        </w:rPr>
        <w:t xml:space="preserve">4.1 Architecture Layers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Layer</w:t>
            </w:r>
          </w:p>
        </w:tc>
        <w:tc>
          <w:tcPr>
            <w:tcW w:type="pct" w:w="1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Component</w:t>
            </w:r>
          </w:p>
        </w:tc>
        <w:tc>
          <w:tcPr>
            <w:tcW w:type="pct" w:w="7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Responsibility</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Client Layer</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Git CLI, PowerShell, REST API consumers, Web browser</w:t>
            </w:r>
          </w:p>
        </w:tc>
        <w:tc>
          <w:tcPr>
            <w:tcW w:type="pct" w:w="7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All client interactions arrive as HTTPS requests to the server's FQDN (e.g., </w:t>
            </w:r>
            <w:r>
              <w:rPr>
                <w:rFonts w:ascii="Courier New" w:cs="Courier New" w:eastAsia="Courier New" w:hAnsi="Courier New"/>
                <w:b w:val="false"/>
                <w:bCs w:val="false"/>
                <w:i w:val="false"/>
                <w:iCs w:val="false"/>
                <w:color w:val="000000"/>
                <w:sz w:val="20"/>
                <w:szCs w:val="20"/>
                <w:shd w:fill="F3F4F6" w:color="auto" w:val="clear"/>
              </w:rPr>
              <w:t xml:space="preserve">git.uiao.local</w:t>
            </w:r>
            <w:r>
              <w:rPr>
                <w:rFonts w:ascii="Calibri" w:cs="Calibri" w:eastAsia="Calibri" w:hAnsi="Calibri"/>
                <w:b w:val="false"/>
                <w:bCs w:val="false"/>
                <w:i w:val="false"/>
                <w:iCs w:val="false"/>
                <w:strike w:val="false"/>
                <w:color w:val="000000"/>
                <w:sz w:val="22"/>
                <w:szCs w:val="22"/>
              </w:rPr>
              <w:t xml:space="preserve"> or public DNS). Git CLI uses Smart HTTP protocol. PowerShell and automation use REST API with bearer tokens. Browsers access the Gitea web UI.</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Reverse Proxy Layer</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IIS 10 on Windows Server 2025</w:t>
            </w:r>
          </w:p>
        </w:tc>
        <w:tc>
          <w:tcPr>
            <w:tcW w:type="pct" w:w="7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TLS/HTTPS termination (certificate binding on port 443), request filtering (blocking malformed requests, enforcing size limits), URL Rewrite rules forwarding all requests to </w:t>
            </w:r>
            <w:r>
              <w:rPr>
                <w:rFonts w:ascii="Courier New" w:cs="Courier New" w:eastAsia="Courier New" w:hAnsi="Courier New"/>
                <w:b w:val="false"/>
                <w:bCs w:val="false"/>
                <w:i w:val="false"/>
                <w:iCs w:val="false"/>
                <w:color w:val="000000"/>
                <w:sz w:val="20"/>
                <w:szCs w:val="20"/>
                <w:shd w:fill="F3F4F6" w:color="auto" w:val="clear"/>
              </w:rPr>
              <w:t xml:space="preserve">http://localhost:3000</w:t>
            </w:r>
            <w:r>
              <w:rPr>
                <w:rFonts w:ascii="Calibri" w:cs="Calibri" w:eastAsia="Calibri" w:hAnsi="Calibri"/>
                <w:b w:val="false"/>
                <w:bCs w:val="false"/>
                <w:i w:val="false"/>
                <w:iCs w:val="false"/>
                <w:strike w:val="false"/>
                <w:color w:val="000000"/>
                <w:sz w:val="22"/>
                <w:szCs w:val="22"/>
              </w:rPr>
              <w:t xml:space="preserve">, IP restrictions, rate limiting, Windows Event Log integration. IIS also serves static content directly (Quarto-rendered docs, dashboards).</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Application Layer</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Gitea (single Go binary, Windows service)</w:t>
            </w:r>
          </w:p>
        </w:tc>
        <w:tc>
          <w:tcPr>
            <w:tcW w:type="pct" w:w="7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Git Smart HTTP transport, REST API (</w:t>
            </w:r>
            <w:r>
              <w:rPr>
                <w:rFonts w:ascii="Courier New" w:cs="Courier New" w:eastAsia="Courier New" w:hAnsi="Courier New"/>
                <w:b w:val="false"/>
                <w:bCs w:val="false"/>
                <w:i w:val="false"/>
                <w:iCs w:val="false"/>
                <w:color w:val="000000"/>
                <w:sz w:val="20"/>
                <w:szCs w:val="20"/>
                <w:shd w:fill="F3F4F6" w:color="auto" w:val="clear"/>
              </w:rPr>
              <w:t xml:space="preserve">/api/v1/*</w:t>
            </w:r>
            <w:r>
              <w:rPr>
                <w:rFonts w:ascii="Calibri" w:cs="Calibri" w:eastAsia="Calibri" w:hAnsi="Calibri"/>
                <w:b w:val="false"/>
                <w:bCs w:val="false"/>
                <w:i w:val="false"/>
                <w:iCs w:val="false"/>
                <w:strike w:val="false"/>
                <w:color w:val="000000"/>
                <w:sz w:val="22"/>
                <w:szCs w:val="22"/>
              </w:rPr>
              <w:t xml:space="preserve">), webhook dispatch, user authentication (LDAP bind to AD, OAuth2/OIDC to Entra ID), repository management, code browsing, API token issuance, audit logging. Listens on </w:t>
            </w:r>
            <w:r>
              <w:rPr>
                <w:rFonts w:ascii="Courier New" w:cs="Courier New" w:eastAsia="Courier New" w:hAnsi="Courier New"/>
                <w:b w:val="false"/>
                <w:bCs w:val="false"/>
                <w:i w:val="false"/>
                <w:iCs w:val="false"/>
                <w:color w:val="000000"/>
                <w:sz w:val="20"/>
                <w:szCs w:val="20"/>
                <w:shd w:fill="F3F4F6" w:color="auto" w:val="clear"/>
              </w:rPr>
              <w:t xml:space="preserve">localhost:3000</w:t>
            </w:r>
            <w:r>
              <w:rPr>
                <w:rFonts w:ascii="Calibri" w:cs="Calibri" w:eastAsia="Calibri" w:hAnsi="Calibri"/>
                <w:b w:val="false"/>
                <w:bCs w:val="false"/>
                <w:i w:val="false"/>
                <w:iCs w:val="false"/>
                <w:strike w:val="false"/>
                <w:color w:val="000000"/>
                <w:sz w:val="22"/>
                <w:szCs w:val="22"/>
              </w:rPr>
              <w:t xml:space="preserve"> only — not exposed to network directly.</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Storage Layer</w:t>
            </w:r>
          </w:p>
        </w:tc>
        <w:tc>
          <w:tcPr>
            <w:tcW w:type="pct" w:w="16%"/>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D:\GitRepos\</w:t>
            </w:r>
            <w:r>
              <w:rPr>
                <w:rFonts w:ascii="Calibri" w:cs="Calibri" w:eastAsia="Calibri" w:hAnsi="Calibri"/>
                <w:b w:val="false"/>
                <w:bCs w:val="false"/>
                <w:i w:val="false"/>
                <w:iCs w:val="false"/>
                <w:strike w:val="false"/>
                <w:color w:val="000000"/>
                <w:sz w:val="22"/>
                <w:szCs w:val="22"/>
              </w:rPr>
              <w:t xml:space="preserve"> (NTFS)</w:t>
            </w:r>
          </w:p>
        </w:tc>
        <w:tc>
          <w:tcPr>
            <w:tcW w:type="pct" w:w="7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Bare Git repositories managed by Gitea. NTFS permissions restrict access to the Gitea service account. Gitea's SQLite database (</w:t>
            </w:r>
            <w:r>
              <w:rPr>
                <w:rFonts w:ascii="Courier New" w:cs="Courier New" w:eastAsia="Courier New" w:hAnsi="Courier New"/>
                <w:b w:val="false"/>
                <w:bCs w:val="false"/>
                <w:i w:val="false"/>
                <w:iCs w:val="false"/>
                <w:color w:val="000000"/>
                <w:sz w:val="20"/>
                <w:szCs w:val="20"/>
                <w:shd w:fill="F3F4F6" w:color="auto" w:val="clear"/>
              </w:rPr>
              <w:t xml:space="preserve">gitea.db</w:t>
            </w:r>
            <w:r>
              <w:rPr>
                <w:rFonts w:ascii="Calibri" w:cs="Calibri" w:eastAsia="Calibri" w:hAnsi="Calibri"/>
                <w:b w:val="false"/>
                <w:bCs w:val="false"/>
                <w:i w:val="false"/>
                <w:iCs w:val="false"/>
                <w:strike w:val="false"/>
                <w:color w:val="000000"/>
                <w:sz w:val="22"/>
                <w:szCs w:val="22"/>
              </w:rPr>
              <w:t xml:space="preserve">) stores metadata (users, tokens, webhooks, issues) in </w:t>
            </w:r>
            <w:r>
              <w:rPr>
                <w:rFonts w:ascii="Courier New" w:cs="Courier New" w:eastAsia="Courier New" w:hAnsi="Courier New"/>
                <w:b w:val="false"/>
                <w:bCs w:val="false"/>
                <w:i w:val="false"/>
                <w:iCs w:val="false"/>
                <w:color w:val="000000"/>
                <w:sz w:val="20"/>
                <w:szCs w:val="20"/>
                <w:shd w:fill="F3F4F6" w:color="auto" w:val="clear"/>
              </w:rPr>
              <w:t xml:space="preserve">C:\gitea-data\data\</w:t>
            </w:r>
            <w:r>
              <w:rPr>
                <w:rFonts w:ascii="Calibri" w:cs="Calibri" w:eastAsia="Calibri" w:hAnsi="Calibri"/>
                <w:b w:val="false"/>
                <w:bCs w:val="false"/>
                <w:i w:val="false"/>
                <w:iCs w:val="false"/>
                <w:strike w:val="false"/>
                <w:color w:val="000000"/>
                <w:sz w:val="22"/>
                <w:szCs w:val="22"/>
              </w:rPr>
              <w:t xml:space="preserve">.</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Authentication Layer</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Active Directory (LDAP) + Entra ID (OAuth2/OIDC)</w:t>
            </w:r>
          </w:p>
        </w:tc>
        <w:tc>
          <w:tcPr>
            <w:tcW w:type="pct" w:w="7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AD provides domain credential authentication via LDAP BindDN — Gitea validates user credentials against AD on login. Entra ID provides modern SSO via OAuth2/OIDC — users authenticate through the Microsoft identity platform and are mapped to Gitea accounts.</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Automation Layer</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Gitea webhooks → PowerShell → Graph API / Az CLI</w:t>
            </w:r>
          </w:p>
        </w:tc>
        <w:tc>
          <w:tcPr>
            <w:tcW w:type="pct" w:w="7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On push events, Gitea delivers a JSON webhook payload to a local HTTP listener (PowerShell Universal, Azure Functions local, or a simple HttpListener script). The listener parses the payload, identifies changed files, and triggers governance actions: Graph API calls (Entra/Intune policy deployment), Az.ConnectedMachine commands (Azure Arc server configuration), Quarto renders (documentation regeneration).</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4.2 Request Flow</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table traces three representative requests through the architecture layers.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t>
            </w:r>
          </w:p>
        </w:tc>
        <w:tc>
          <w:tcPr>
            <w:tcW w:type="pct" w:w="1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Client Action</w:t>
            </w:r>
          </w:p>
        </w:tc>
        <w:tc>
          <w:tcPr>
            <w:tcW w:type="pct" w:w="2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IIS (Port 443)</w:t>
            </w:r>
          </w:p>
        </w:tc>
        <w:tc>
          <w:tcPr>
            <w:tcW w:type="pct" w:w="2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Gitea (Port 3000)</w:t>
            </w:r>
          </w:p>
        </w:tc>
        <w:tc>
          <w:tcPr>
            <w:tcW w:type="pct" w:w="2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Result</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w:t>
            </w:r>
          </w:p>
        </w:tc>
        <w:tc>
          <w:tcPr>
            <w:tcW w:type="pct" w:w="19%"/>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git clone https://git.uiao.local/uiao/uiao.git</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TLS termination → URL Rewrite → Forward to localhost:3000</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Git Smart HTTP handler → Reads </w:t>
            </w:r>
            <w:r>
              <w:rPr>
                <w:rFonts w:ascii="Courier New" w:cs="Courier New" w:eastAsia="Courier New" w:hAnsi="Courier New"/>
                <w:b w:val="false"/>
                <w:bCs w:val="false"/>
                <w:i w:val="false"/>
                <w:iCs w:val="false"/>
                <w:color w:val="000000"/>
                <w:sz w:val="20"/>
                <w:szCs w:val="20"/>
                <w:shd w:fill="F3F4F6" w:color="auto" w:val="clear"/>
              </w:rPr>
              <w:t xml:space="preserve">D:\GitRepos\uiao.git</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Repository cloned to client workstation</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w:t>
            </w:r>
          </w:p>
        </w:tc>
        <w:tc>
          <w:tcPr>
            <w:tcW w:type="pct" w:w="19%"/>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GET /api/v1/repos/uiao/uiao/contents/canon.yml</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TLS termination → URL Rewrite → Forward to localhost:3000</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REST API handler → Reads file from repo → Returns JSON with base64 content</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PowerShell receives file contents as structured JSON</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w:t>
            </w:r>
          </w:p>
        </w:tc>
        <w:tc>
          <w:tcPr>
            <w:tcW w:type="pct" w:w="19%"/>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git push origin main</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TLS termination → URL Rewrite → Forward to localhost:3000</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Git Smart HTTP handler → Accepts push → Fires webhook</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Webhook POST delivers JSON payload to PowerShell listener → Graph API call → Intune policy updated</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4</w:t>
            </w:r>
          </w:p>
        </w:tc>
        <w:tc>
          <w:tcPr>
            <w:tcW w:type="pct" w:w="19%"/>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GET /api/v1/repos/uiao/uiao/commits?sha=main&amp;limit=10</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TLS termination → URL Rewrite → Forward to localhost:3000</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REST API handler → Reads commit log → Returns JSON array</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Automation receives last 10 commits with SHA, author, message, timestamp</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5</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Browser: </w:t>
            </w:r>
            <w:r>
              <w:rPr>
                <w:rFonts w:ascii="Courier New" w:cs="Courier New" w:eastAsia="Courier New" w:hAnsi="Courier New"/>
                <w:b w:val="false"/>
                <w:bCs w:val="false"/>
                <w:i w:val="false"/>
                <w:iCs w:val="false"/>
                <w:color w:val="000000"/>
                <w:sz w:val="20"/>
                <w:szCs w:val="20"/>
                <w:shd w:fill="F3F4F6" w:color="auto" w:val="clear"/>
              </w:rPr>
              <w:t xml:space="preserve">https://git.uiao.local/uiao/uiao</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TLS termination → URL Rewrite → Forward to localhost:3000</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Web UI handler → Renders repository homepage</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User sees file tree, README, commit history in browser</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4.3 Network Topology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architecture uses a single-server, dual-process model. No additional servers, containers, or VMs are required.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Component</w:t>
            </w:r>
          </w:p>
        </w:tc>
        <w:tc>
          <w:tcPr>
            <w:tcW w:type="pct" w:w="1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Listen Address</w:t>
            </w:r>
          </w:p>
        </w:tc>
        <w:tc>
          <w:tcPr>
            <w:tcW w:type="pct" w:w="1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Protocol</w:t>
            </w:r>
          </w:p>
        </w:tc>
        <w:tc>
          <w:tcPr>
            <w:tcW w:type="pct" w:w="4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Notes</w:t>
            </w:r>
          </w:p>
        </w:tc>
      </w:tr>
      <w:tr>
        <w:trPr>
          <w:tblHeader w:val="false"/>
        </w:trPr>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IIS</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0.0.0.0:443</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HTTPS (TLS 1.2+)</w:t>
            </w:r>
          </w:p>
        </w:tc>
        <w:tc>
          <w:tcPr>
            <w:tcW w:type="pct" w:w="4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Public-facing. Bound to server certificate. Only port exposed to network.</w:t>
            </w:r>
          </w:p>
        </w:tc>
      </w:tr>
      <w:tr>
        <w:trPr>
          <w:tblHeader w:val="false"/>
        </w:trPr>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IIS</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0.0.0.0:80</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HTTP</w:t>
            </w:r>
          </w:p>
        </w:tc>
        <w:tc>
          <w:tcPr>
            <w:tcW w:type="pct" w:w="4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Redirect-only — 301 to HTTPS. No content served.</w:t>
            </w:r>
          </w:p>
        </w:tc>
      </w:tr>
      <w:tr>
        <w:trPr>
          <w:tblHeader w:val="false"/>
        </w:trPr>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Gitea</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127.0.0.1:3000</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HTTP</w:t>
            </w:r>
          </w:p>
        </w:tc>
        <w:tc>
          <w:tcPr>
            <w:tcW w:type="pct" w:w="4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Loopback only. Not reachable from network. IIS forwards to this address.</w:t>
            </w:r>
          </w:p>
        </w:tc>
      </w:tr>
      <w:tr>
        <w:trPr>
          <w:tblHeader w:val="false"/>
        </w:trPr>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Gitea SSH (optional)</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0.0.0.0:22 or 2222</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SSH</w:t>
            </w:r>
          </w:p>
        </w:tc>
        <w:tc>
          <w:tcPr>
            <w:tcW w:type="pct" w:w="4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Optional — Git over SSH. Can be disabled if HTTPS-only policy applies.</w:t>
            </w:r>
          </w:p>
        </w:tc>
      </w:tr>
    </w:tbl>
    <w:p>
      <w:pPr>
        <w:spacing w:after="200" w:before="0"/>
      </w:pPr>
    </w:p>
    <w:p>
      <w:pPr>
        <w:pStyle w:val="Heading1"/>
        <w:spacing w:after="120" w:before="480" w:line="312" w:lineRule="auto"/>
      </w:pPr>
      <w:r>
        <w:rPr>
          <w:rFonts w:ascii="Calibri" w:cs="Calibri" w:eastAsia="Calibri" w:hAnsi="Calibri"/>
          <w:color w:val="1A1A1A"/>
          <w:sz w:val="48"/>
          <w:szCs w:val="48"/>
        </w:rPr>
        <w:t xml:space="preserve">5. What IIS Still Does (and Why It Stays)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 critical point of clarity: </w:t>
      </w:r>
      <w:r>
        <w:rPr>
          <w:rFonts w:ascii="Calibri" w:cs="Calibri" w:eastAsia="Calibri" w:hAnsi="Calibri"/>
          <w:b/>
          <w:bCs/>
          <w:i w:val="false"/>
          <w:iCs w:val="false"/>
          <w:strike w:val="false"/>
          <w:color w:val="000000"/>
          <w:sz w:val="22"/>
          <w:szCs w:val="22"/>
        </w:rPr>
        <w:t xml:space="preserve">IIS is not being replaced. IIS is being promoted.</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In the current architecture (Option A), IIS serves as a CGI application host — receiving HTTP requests and spawning </w:t>
      </w:r>
      <w:r>
        <w:rPr>
          <w:rFonts w:ascii="Courier New" w:cs="Courier New" w:eastAsia="Courier New" w:hAnsi="Courier New"/>
          <w:b w:val="false"/>
          <w:bCs w:val="false"/>
          <w:i w:val="false"/>
          <w:iCs w:val="false"/>
          <w:color w:val="000000"/>
          <w:sz w:val="20"/>
          <w:szCs w:val="20"/>
          <w:shd w:fill="F3F4F6" w:color="auto" w:val="clear"/>
        </w:rPr>
        <w:t xml:space="preserve">git-http-backend.exe</w:t>
      </w:r>
      <w:r>
        <w:rPr>
          <w:rFonts w:ascii="Calibri" w:cs="Calibri" w:eastAsia="Calibri" w:hAnsi="Calibri"/>
          <w:b w:val="false"/>
          <w:bCs w:val="false"/>
          <w:i w:val="false"/>
          <w:iCs w:val="false"/>
          <w:strike w:val="false"/>
          <w:color w:val="000000"/>
          <w:sz w:val="22"/>
          <w:szCs w:val="22"/>
        </w:rPr>
        <w:t xml:space="preserve"> to handle them. This is the least sophisticated use of IIS. In the recommended architecture (Option B), IIS takes on a far more important role as the network security perimeter.</w:t>
      </w:r>
    </w:p>
    <w:p>
      <w:pPr>
        <w:pStyle w:val="Heading2"/>
        <w:spacing w:after="120" w:before="360" w:line="312" w:lineRule="auto"/>
      </w:pPr>
      <w:r>
        <w:rPr>
          <w:rFonts w:ascii="Calibri" w:cs="Calibri" w:eastAsia="Calibri" w:hAnsi="Calibri"/>
          <w:color w:val="1A1A1A"/>
          <w:sz w:val="36"/>
          <w:szCs w:val="36"/>
        </w:rPr>
        <w:t xml:space="preserve">5.1 IIS Responsibilities in the Gitea+IIS Architecture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Capability</w:t>
            </w:r>
          </w:p>
        </w:tc>
        <w:tc>
          <w:tcPr>
            <w:tcW w:type="pct" w:w="8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How IIS Delivers It</w:t>
            </w:r>
          </w:p>
        </w:tc>
      </w:tr>
      <w:tr>
        <w:trPr>
          <w:tblHeader w:val="false"/>
        </w:trPr>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TLS/HTTPS termination</w:t>
            </w:r>
          </w:p>
        </w:tc>
        <w:tc>
          <w:tcPr>
            <w:tcW w:type="pct" w:w="8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IIS binds the server certificate on port 443, negotiates TLS 1.2+ with clients, and forwards decrypted HTTP to Gitea on localhost. Certificate renewal, binding management, and cipher suite configuration are all managed through IIS Manager or PowerShell's </w:t>
            </w:r>
            <w:r>
              <w:rPr>
                <w:rFonts w:ascii="Courier New" w:cs="Courier New" w:eastAsia="Courier New" w:hAnsi="Courier New"/>
                <w:b w:val="false"/>
                <w:bCs w:val="false"/>
                <w:i w:val="false"/>
                <w:iCs w:val="false"/>
                <w:color w:val="000000"/>
                <w:sz w:val="20"/>
                <w:szCs w:val="20"/>
                <w:shd w:fill="F3F4F6" w:color="auto" w:val="clear"/>
              </w:rPr>
              <w:t xml:space="preserve">WebAdministration</w:t>
            </w:r>
            <w:r>
              <w:rPr>
                <w:rFonts w:ascii="Calibri" w:cs="Calibri" w:eastAsia="Calibri" w:hAnsi="Calibri"/>
                <w:b w:val="false"/>
                <w:bCs w:val="false"/>
                <w:i w:val="false"/>
                <w:iCs w:val="false"/>
                <w:strike w:val="false"/>
                <w:color w:val="000000"/>
                <w:sz w:val="22"/>
                <w:szCs w:val="22"/>
              </w:rPr>
              <w:t xml:space="preserve"> module.</w:t>
            </w:r>
          </w:p>
        </w:tc>
      </w:tr>
      <w:tr>
        <w:trPr>
          <w:tblHeader w:val="false"/>
        </w:trPr>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Request filtering</w:t>
            </w:r>
          </w:p>
        </w:tc>
        <w:tc>
          <w:tcPr>
            <w:tcW w:type="pct" w:w="8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IIS Request Filtering module blocks requests with oversized headers, disallowed HTTP verbs, double-encoded URLs, and high-bit characters. This is defense-in-depth — malformed requests never reach Gitea.</w:t>
            </w:r>
          </w:p>
        </w:tc>
      </w:tr>
      <w:tr>
        <w:trPr>
          <w:tblHeader w:val="false"/>
        </w:trPr>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IP restrictions</w:t>
            </w:r>
          </w:p>
        </w:tc>
        <w:tc>
          <w:tcPr>
            <w:tcW w:type="pct" w:w="8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IIS IP Security module can restrict Git/API access to specific IP ranges (e.g., management VLAN only), adding network-level access control that Gitea does not provide natively.</w:t>
            </w:r>
          </w:p>
        </w:tc>
      </w:tr>
      <w:tr>
        <w:trPr>
          <w:tblHeader w:val="false"/>
        </w:trPr>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Rate limiting</w:t>
            </w:r>
          </w:p>
        </w:tc>
        <w:tc>
          <w:tcPr>
            <w:tcW w:type="pct" w:w="8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IIS Dynamic IP Restrictions module can throttle excessive requests from a single IP, mitigating brute-force authentication attempts.</w:t>
            </w:r>
          </w:p>
        </w:tc>
      </w:tr>
      <w:tr>
        <w:trPr>
          <w:tblHeader w:val="false"/>
        </w:trPr>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URL Rewrite routing</w:t>
            </w:r>
          </w:p>
        </w:tc>
        <w:tc>
          <w:tcPr>
            <w:tcW w:type="pct" w:w="8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IIS URL Rewrite module with Application Request Routing (ARR) handles the reverse proxy function — rewriting inbound URLs and forwarding them to </w:t>
            </w:r>
            <w:r>
              <w:rPr>
                <w:rFonts w:ascii="Courier New" w:cs="Courier New" w:eastAsia="Courier New" w:hAnsi="Courier New"/>
                <w:b w:val="false"/>
                <w:bCs w:val="false"/>
                <w:i w:val="false"/>
                <w:iCs w:val="false"/>
                <w:color w:val="000000"/>
                <w:sz w:val="20"/>
                <w:szCs w:val="20"/>
                <w:shd w:fill="F3F4F6" w:color="auto" w:val="clear"/>
              </w:rPr>
              <w:t xml:space="preserve">http://localhost:3000</w:t>
            </w:r>
            <w:r>
              <w:rPr>
                <w:rFonts w:ascii="Calibri" w:cs="Calibri" w:eastAsia="Calibri" w:hAnsi="Calibri"/>
                <w:b w:val="false"/>
                <w:bCs w:val="false"/>
                <w:i w:val="false"/>
                <w:iCs w:val="false"/>
                <w:strike w:val="false"/>
                <w:color w:val="000000"/>
                <w:sz w:val="22"/>
                <w:szCs w:val="22"/>
              </w:rPr>
              <w:t xml:space="preserve">. Outbound rules rewrite response headers to reflect the public FQDN.</w:t>
            </w:r>
          </w:p>
        </w:tc>
      </w:tr>
      <w:tr>
        <w:trPr>
          <w:tblHeader w:val="false"/>
        </w:trPr>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Static content serving</w:t>
            </w:r>
          </w:p>
        </w:tc>
        <w:tc>
          <w:tcPr>
            <w:tcW w:type="pct" w:w="8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IIS can serve Quarto-rendered HTML documentation, dashboards, and static assets directly — without routing through Gitea. A separate IIS site or virtual directory (e.g., </w:t>
            </w:r>
            <w:r>
              <w:rPr>
                <w:rFonts w:ascii="Courier New" w:cs="Courier New" w:eastAsia="Courier New" w:hAnsi="Courier New"/>
                <w:b w:val="false"/>
                <w:bCs w:val="false"/>
                <w:i w:val="false"/>
                <w:iCs w:val="false"/>
                <w:color w:val="000000"/>
                <w:sz w:val="20"/>
                <w:szCs w:val="20"/>
                <w:shd w:fill="F3F4F6" w:color="auto" w:val="clear"/>
              </w:rPr>
              <w:t xml:space="preserve">/docs/</w:t>
            </w:r>
            <w:r>
              <w:rPr>
                <w:rFonts w:ascii="Calibri" w:cs="Calibri" w:eastAsia="Calibri" w:hAnsi="Calibri"/>
                <w:b w:val="false"/>
                <w:bCs w:val="false"/>
                <w:i w:val="false"/>
                <w:iCs w:val="false"/>
                <w:strike w:val="false"/>
                <w:color w:val="000000"/>
                <w:sz w:val="22"/>
                <w:szCs w:val="22"/>
              </w:rPr>
              <w:t xml:space="preserve">) points to the Quarto output directory.</w:t>
            </w:r>
          </w:p>
        </w:tc>
      </w:tr>
      <w:tr>
        <w:trPr>
          <w:tblHeader w:val="false"/>
        </w:trPr>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Windows Event Log integration</w:t>
            </w:r>
          </w:p>
        </w:tc>
        <w:tc>
          <w:tcPr>
            <w:tcW w:type="pct" w:w="8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IIS logs to Windows Event Log and W3C log files. Failed authentication attempts, 500 errors, and request filtering blocks are all captured in standard Windows logging infrastructure — visible in Event Viewer and consumable by SIEM tools.</w:t>
            </w:r>
          </w:p>
        </w:tc>
      </w:tr>
      <w:tr>
        <w:trPr>
          <w:tblHeader w:val="false"/>
        </w:trPr>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Centralized management</w:t>
            </w:r>
          </w:p>
        </w:tc>
        <w:tc>
          <w:tcPr>
            <w:tcW w:type="pct" w:w="8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IIS Manager provides a GUI for certificate management, site configuration, and reverse proxy rule editing. Administrators familiar with IIS do not need to learn new tools.</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80"/>
              <w:left w:type="dxa" w:w="180"/>
              <w:bottom w:type="dxa" w:w="180"/>
              <w:right w:type="dxa" w:w="180"/>
            </w:tcMar>
          </w:tcPr>
          <w:p>
            <w:pPr>
              <w:spacing w:after="120" w:line="408" w:lineRule="auto"/>
            </w:pPr>
            <w:r>
              <w:rPr>
                <w:b/>
                <w:bCs/>
                <w:i w:val="false"/>
                <w:iCs w:val="false"/>
                <w:color w:val="000000"/>
              </w:rPr>
              <w:t xml:space="preserve">KEY INSIGHT</w:t>
            </w:r>
          </w:p>
          <w:p>
            <w:pPr>
              <w:spacing w:after="120" w:line="360" w:lineRule="auto"/>
            </w:pPr>
            <w:r>
              <w:rPr>
                <w:rFonts w:ascii="Calibri" w:cs="Calibri" w:eastAsia="Calibri" w:hAnsi="Calibri"/>
                <w:b w:val="false"/>
                <w:bCs w:val="false"/>
                <w:i w:val="false"/>
                <w:iCs w:val="false"/>
                <w:strike w:val="false"/>
                <w:color w:val="000000"/>
                <w:sz w:val="22"/>
                <w:szCs w:val="22"/>
              </w:rPr>
              <w:t xml:space="preserve">IIS becomes </w:t>
            </w:r>
            <w:r>
              <w:rPr>
                <w:rFonts w:ascii="Calibri" w:cs="Calibri" w:eastAsia="Calibri" w:hAnsi="Calibri"/>
                <w:b w:val="false"/>
                <w:bCs w:val="false"/>
                <w:i/>
                <w:iCs/>
                <w:strike w:val="false"/>
                <w:color w:val="000000"/>
                <w:sz w:val="22"/>
                <w:szCs w:val="22"/>
              </w:rPr>
              <w:t xml:space="preserve">more</w:t>
            </w:r>
            <w:r>
              <w:rPr>
                <w:rFonts w:ascii="Calibri" w:cs="Calibri" w:eastAsia="Calibri" w:hAnsi="Calibri"/>
                <w:b w:val="false"/>
                <w:bCs w:val="false"/>
                <w:i w:val="false"/>
                <w:iCs w:val="false"/>
                <w:strike w:val="false"/>
                <w:color w:val="000000"/>
                <w:sz w:val="22"/>
                <w:szCs w:val="22"/>
              </w:rPr>
              <w:t xml:space="preserve"> important in this architecture, not less. It transitions from a simple CGI host (replaceable) to the security perimeter (critical). Every request — Git, API, and browser — passes through IIS before reaching Gitea. This is a deliberate defense-in-depth design.</w:t>
            </w:r>
          </w:p>
        </w:tc>
      </w:tr>
    </w:tbl>
    <w:p>
      <w:pPr>
        <w:spacing w:after="240" w:before="0"/>
      </w:pPr>
    </w:p>
    <w:p>
      <w:pPr>
        <w:pStyle w:val="Heading1"/>
        <w:spacing w:after="120" w:before="480" w:line="312" w:lineRule="auto"/>
      </w:pPr>
      <w:r>
        <w:rPr>
          <w:rFonts w:ascii="Calibri" w:cs="Calibri" w:eastAsia="Calibri" w:hAnsi="Calibri"/>
          <w:color w:val="1A1A1A"/>
          <w:sz w:val="48"/>
          <w:szCs w:val="48"/>
        </w:rPr>
        <w:t xml:space="preserve">6. Migration Path from IIS-Only to Gitea+IIS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migration is designed for zero-downtime transition. Gitea is installed alongside the existing IIS Git configuration and operated in parallel until validated. At no point is the existing repository at risk.</w:t>
      </w:r>
    </w:p>
    <w:p>
      <w:pPr>
        <w:pStyle w:val="Heading2"/>
        <w:spacing w:after="120" w:before="360" w:line="312" w:lineRule="auto"/>
      </w:pPr>
      <w:r>
        <w:rPr>
          <w:rFonts w:ascii="Calibri" w:cs="Calibri" w:eastAsia="Calibri" w:hAnsi="Calibri"/>
          <w:color w:val="1A1A1A"/>
          <w:sz w:val="36"/>
          <w:szCs w:val="36"/>
        </w:rPr>
        <w:t xml:space="preserve">6.1 Phase Sequence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Phase</w:t>
            </w:r>
          </w:p>
        </w:tc>
        <w:tc>
          <w:tcPr>
            <w:tcW w:type="pct" w:w="1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Action</w:t>
            </w:r>
          </w:p>
        </w:tc>
        <w:tc>
          <w:tcPr>
            <w:tcW w:type="pct" w:w="5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Details</w:t>
            </w:r>
          </w:p>
        </w:tc>
        <w:tc>
          <w:tcPr>
            <w:tcW w:type="pct" w:w="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Duration</w:t>
            </w:r>
          </w:p>
        </w:tc>
        <w:tc>
          <w:tcPr>
            <w:tcW w:type="pct" w:w="1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Risk</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1</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Install Gitea alongside IIS Git</w:t>
            </w:r>
          </w:p>
        </w:tc>
        <w:tc>
          <w:tcPr>
            <w:tcW w:type="pct" w:w="5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Download Gitea binary to </w:t>
            </w:r>
            <w:r>
              <w:rPr>
                <w:rFonts w:ascii="Courier New" w:cs="Courier New" w:eastAsia="Courier New" w:hAnsi="Courier New"/>
                <w:b w:val="false"/>
                <w:bCs w:val="false"/>
                <w:i w:val="false"/>
                <w:iCs w:val="false"/>
                <w:color w:val="000000"/>
                <w:sz w:val="20"/>
                <w:szCs w:val="20"/>
                <w:shd w:fill="F3F4F6" w:color="auto" w:val="clear"/>
              </w:rPr>
              <w:t xml:space="preserve">C:\gitea\</w:t>
            </w:r>
            <w:r>
              <w:rPr>
                <w:rFonts w:ascii="Calibri" w:cs="Calibri" w:eastAsia="Calibri" w:hAnsi="Calibri"/>
                <w:b w:val="false"/>
                <w:bCs w:val="false"/>
                <w:i w:val="false"/>
                <w:iCs w:val="false"/>
                <w:strike w:val="false"/>
                <w:color w:val="000000"/>
                <w:sz w:val="22"/>
                <w:szCs w:val="22"/>
              </w:rPr>
              <w:t xml:space="preserve">. Create data directory at </w:t>
            </w:r>
            <w:r>
              <w:rPr>
                <w:rFonts w:ascii="Courier New" w:cs="Courier New" w:eastAsia="Courier New" w:hAnsi="Courier New"/>
                <w:b w:val="false"/>
                <w:bCs w:val="false"/>
                <w:i w:val="false"/>
                <w:iCs w:val="false"/>
                <w:color w:val="000000"/>
                <w:sz w:val="20"/>
                <w:szCs w:val="20"/>
                <w:shd w:fill="F3F4F6" w:color="auto" w:val="clear"/>
              </w:rPr>
              <w:t xml:space="preserve">C:\gitea-data\</w:t>
            </w:r>
            <w:r>
              <w:rPr>
                <w:rFonts w:ascii="Calibri" w:cs="Calibri" w:eastAsia="Calibri" w:hAnsi="Calibri"/>
                <w:b w:val="false"/>
                <w:bCs w:val="false"/>
                <w:i w:val="false"/>
                <w:iCs w:val="false"/>
                <w:strike w:val="false"/>
                <w:color w:val="000000"/>
                <w:sz w:val="22"/>
                <w:szCs w:val="22"/>
              </w:rPr>
              <w:t xml:space="preserve">. Run initial setup wizard on </w:t>
            </w:r>
            <w:r>
              <w:rPr>
                <w:rFonts w:ascii="Courier New" w:cs="Courier New" w:eastAsia="Courier New" w:hAnsi="Courier New"/>
                <w:b w:val="false"/>
                <w:bCs w:val="false"/>
                <w:i w:val="false"/>
                <w:iCs w:val="false"/>
                <w:color w:val="000000"/>
                <w:sz w:val="20"/>
                <w:szCs w:val="20"/>
                <w:shd w:fill="F3F4F6" w:color="auto" w:val="clear"/>
              </w:rPr>
              <w:t xml:space="preserve">localhost:3000</w:t>
            </w:r>
            <w:r>
              <w:rPr>
                <w:rFonts w:ascii="Calibri" w:cs="Calibri" w:eastAsia="Calibri" w:hAnsi="Calibri"/>
                <w:b w:val="false"/>
                <w:bCs w:val="false"/>
                <w:i w:val="false"/>
                <w:iCs w:val="false"/>
                <w:strike w:val="false"/>
                <w:color w:val="000000"/>
                <w:sz w:val="22"/>
                <w:szCs w:val="22"/>
              </w:rPr>
              <w:t xml:space="preserve">. Configure SQLite database. Do not modify existing IIS configuration. Both systems run in parallel.</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30 min</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None — isolated</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2</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Configure Gitea LDAP auth</w:t>
            </w:r>
          </w:p>
        </w:tc>
        <w:tc>
          <w:tcPr>
            <w:tcW w:type="pct" w:w="5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 Gitea Admin → Authentication Sources, add LDAP (via BindDN). Configure: Host (AD domain controller), BindDN (read-only service account), Base DN (user OU), User Filter (</w:t>
            </w:r>
            <w:r>
              <w:rPr>
                <w:rFonts w:ascii="Courier New" w:cs="Courier New" w:eastAsia="Courier New" w:hAnsi="Courier New"/>
                <w:b w:val="false"/>
                <w:bCs w:val="false"/>
                <w:i w:val="false"/>
                <w:iCs w:val="false"/>
                <w:color w:val="000000"/>
                <w:sz w:val="20"/>
                <w:szCs w:val="20"/>
                <w:shd w:fill="F3F4F6" w:color="auto" w:val="clear"/>
              </w:rPr>
              <w:t xml:space="preserve">(&amp;(objectClass=user)(sAMAccountName=%s))</w:t>
            </w:r>
            <w:r>
              <w:rPr>
                <w:rFonts w:ascii="Calibri" w:cs="Calibri" w:eastAsia="Calibri" w:hAnsi="Calibri"/>
                <w:b w:val="false"/>
                <w:bCs w:val="false"/>
                <w:i w:val="false"/>
                <w:iCs w:val="false"/>
                <w:strike w:val="false"/>
                <w:color w:val="000000"/>
                <w:sz w:val="22"/>
                <w:szCs w:val="22"/>
              </w:rPr>
              <w:t xml:space="preserve">). Test login with domain credentials.</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 hr</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Low — read-only AD access</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3</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Mirror existing bare repo into Gitea</w:t>
            </w:r>
          </w:p>
        </w:tc>
        <w:tc>
          <w:tcPr>
            <w:tcW w:type="pct" w:w="5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Create organization "uiao" in Gitea. Create repository "uiao" via API or UI. Push existing bare repo content: </w:t>
            </w:r>
            <w:r>
              <w:rPr>
                <w:rFonts w:ascii="Courier New" w:cs="Courier New" w:eastAsia="Courier New" w:hAnsi="Courier New"/>
                <w:b w:val="false"/>
                <w:bCs w:val="false"/>
                <w:i w:val="false"/>
                <w:iCs w:val="false"/>
                <w:color w:val="000000"/>
                <w:sz w:val="20"/>
                <w:szCs w:val="20"/>
                <w:shd w:fill="F3F4F6" w:color="auto" w:val="clear"/>
              </w:rPr>
              <w:t xml:space="preserve">git push --mirror http://localhost:3000/uiao/uiao.git</w:t>
            </w:r>
            <w:r>
              <w:rPr>
                <w:rFonts w:ascii="Calibri" w:cs="Calibri" w:eastAsia="Calibri" w:hAnsi="Calibri"/>
                <w:b w:val="false"/>
                <w:bCs w:val="false"/>
                <w:i w:val="false"/>
                <w:iCs w:val="false"/>
                <w:strike w:val="false"/>
                <w:color w:val="000000"/>
                <w:sz w:val="22"/>
                <w:szCs w:val="22"/>
              </w:rPr>
              <w:t xml:space="preserve">. Verify all branches, tags, and commit history are intact.</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15 min</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None — additive copy</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4</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Reconfigure IIS as reverse proxy</w:t>
            </w:r>
          </w:p>
        </w:tc>
        <w:tc>
          <w:tcPr>
            <w:tcW w:type="pct" w:w="5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Install URL Rewrite and ARR modules if not present. Create new IIS site (or reconfigure existing) with reverse proxy rules forwarding to </w:t>
            </w:r>
            <w:r>
              <w:rPr>
                <w:rFonts w:ascii="Courier New" w:cs="Courier New" w:eastAsia="Courier New" w:hAnsi="Courier New"/>
                <w:b w:val="false"/>
                <w:bCs w:val="false"/>
                <w:i w:val="false"/>
                <w:iCs w:val="false"/>
                <w:color w:val="000000"/>
                <w:sz w:val="20"/>
                <w:szCs w:val="20"/>
                <w:shd w:fill="F3F4F6" w:color="auto" w:val="clear"/>
              </w:rPr>
              <w:t xml:space="preserve">http://localhost:3000</w:t>
            </w:r>
            <w:r>
              <w:rPr>
                <w:rFonts w:ascii="Calibri" w:cs="Calibri" w:eastAsia="Calibri" w:hAnsi="Calibri"/>
                <w:b w:val="false"/>
                <w:bCs w:val="false"/>
                <w:i w:val="false"/>
                <w:iCs w:val="false"/>
                <w:strike w:val="false"/>
                <w:color w:val="000000"/>
                <w:sz w:val="22"/>
                <w:szCs w:val="22"/>
              </w:rPr>
              <w:t xml:space="preserve">. Remove CGI handler mapping for </w:t>
            </w:r>
            <w:r>
              <w:rPr>
                <w:rFonts w:ascii="Courier New" w:cs="Courier New" w:eastAsia="Courier New" w:hAnsi="Courier New"/>
                <w:b w:val="false"/>
                <w:bCs w:val="false"/>
                <w:i w:val="false"/>
                <w:iCs w:val="false"/>
                <w:color w:val="000000"/>
                <w:sz w:val="20"/>
                <w:szCs w:val="20"/>
                <w:shd w:fill="F3F4F6" w:color="auto" w:val="clear"/>
              </w:rPr>
              <w:t xml:space="preserve">git-http-backend.exe</w:t>
            </w:r>
            <w:r>
              <w:rPr>
                <w:rFonts w:ascii="Calibri" w:cs="Calibri" w:eastAsia="Calibri" w:hAnsi="Calibri"/>
                <w:b w:val="false"/>
                <w:bCs w:val="false"/>
                <w:i w:val="false"/>
                <w:iCs w:val="false"/>
                <w:strike w:val="false"/>
                <w:color w:val="000000"/>
                <w:sz w:val="22"/>
                <w:szCs w:val="22"/>
              </w:rPr>
              <w:t xml:space="preserve">. Bind TLS certificate to the new site. Test: </w:t>
            </w:r>
            <w:r>
              <w:rPr>
                <w:rFonts w:ascii="Courier New" w:cs="Courier New" w:eastAsia="Courier New" w:hAnsi="Courier New"/>
                <w:b w:val="false"/>
                <w:bCs w:val="false"/>
                <w:i w:val="false"/>
                <w:iCs w:val="false"/>
                <w:color w:val="000000"/>
                <w:sz w:val="20"/>
                <w:szCs w:val="20"/>
                <w:shd w:fill="F3F4F6" w:color="auto" w:val="clear"/>
              </w:rPr>
              <w:t xml:space="preserve">git clone https://git.uiao.local/uiao/uiao.git</w:t>
            </w:r>
            <w:r>
              <w:rPr>
                <w:rFonts w:ascii="Calibri" w:cs="Calibri" w:eastAsia="Calibri" w:hAnsi="Calibri"/>
                <w:b w:val="false"/>
                <w:bCs w:val="false"/>
                <w:i w:val="false"/>
                <w:iCs w:val="false"/>
                <w:strike w:val="false"/>
                <w:color w:val="000000"/>
                <w:sz w:val="22"/>
                <w:szCs w:val="22"/>
              </w:rPr>
              <w:t xml:space="preserve">.</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 hr</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Medium — brief outage during IIS reconfiguration</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5</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Configure Entra ID OAuth2</w:t>
            </w:r>
          </w:p>
        </w:tc>
        <w:tc>
          <w:tcPr>
            <w:tcW w:type="pct" w:w="5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Register an app in Entra ID (Azure AD). Configure redirect URI to </w:t>
            </w:r>
            <w:r>
              <w:rPr>
                <w:rFonts w:ascii="Courier New" w:cs="Courier New" w:eastAsia="Courier New" w:hAnsi="Courier New"/>
                <w:b w:val="false"/>
                <w:bCs w:val="false"/>
                <w:i w:val="false"/>
                <w:iCs w:val="false"/>
                <w:color w:val="000000"/>
                <w:sz w:val="20"/>
                <w:szCs w:val="20"/>
                <w:shd w:fill="F3F4F6" w:color="auto" w:val="clear"/>
              </w:rPr>
              <w:t xml:space="preserve">https://git.uiao.local/user/oauth2/entra/callback</w:t>
            </w:r>
            <w:r>
              <w:rPr>
                <w:rFonts w:ascii="Calibri" w:cs="Calibri" w:eastAsia="Calibri" w:hAnsi="Calibri"/>
                <w:b w:val="false"/>
                <w:bCs w:val="false"/>
                <w:i w:val="false"/>
                <w:iCs w:val="false"/>
                <w:strike w:val="false"/>
                <w:color w:val="000000"/>
                <w:sz w:val="22"/>
                <w:szCs w:val="22"/>
              </w:rPr>
              <w:t xml:space="preserve">. In Gitea Admin → Authentication Sources, add OAuth2 provider with Client ID, Client Secret, and Entra ID endpoints. Test SSO login.</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 hr</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Low — additive configuration</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6</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Set up webhooks for governance</w:t>
            </w:r>
          </w:p>
        </w:tc>
        <w:tc>
          <w:tcPr>
            <w:tcW w:type="pct" w:w="5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 Gitea repository settings → Webhooks, add webhook for push events. Target URL: local PowerShell listener (e.g., </w:t>
            </w:r>
            <w:r>
              <w:rPr>
                <w:rFonts w:ascii="Courier New" w:cs="Courier New" w:eastAsia="Courier New" w:hAnsi="Courier New"/>
                <w:b w:val="false"/>
                <w:bCs w:val="false"/>
                <w:i w:val="false"/>
                <w:iCs w:val="false"/>
                <w:color w:val="000000"/>
                <w:sz w:val="20"/>
                <w:szCs w:val="20"/>
                <w:shd w:fill="F3F4F6" w:color="auto" w:val="clear"/>
              </w:rPr>
              <w:t xml:space="preserve">http://localhost:5000/webhook</w:t>
            </w:r>
            <w:r>
              <w:rPr>
                <w:rFonts w:ascii="Calibri" w:cs="Calibri" w:eastAsia="Calibri" w:hAnsi="Calibri"/>
                <w:b w:val="false"/>
                <w:bCs w:val="false"/>
                <w:i w:val="false"/>
                <w:iCs w:val="false"/>
                <w:strike w:val="false"/>
                <w:color w:val="000000"/>
                <w:sz w:val="22"/>
                <w:szCs w:val="22"/>
              </w:rPr>
              <w:t xml:space="preserve">). Content type: </w:t>
            </w:r>
            <w:r>
              <w:rPr>
                <w:rFonts w:ascii="Courier New" w:cs="Courier New" w:eastAsia="Courier New" w:hAnsi="Courier New"/>
                <w:b w:val="false"/>
                <w:bCs w:val="false"/>
                <w:i w:val="false"/>
                <w:iCs w:val="false"/>
                <w:color w:val="000000"/>
                <w:sz w:val="20"/>
                <w:szCs w:val="20"/>
                <w:shd w:fill="F3F4F6" w:color="auto" w:val="clear"/>
              </w:rPr>
              <w:t xml:space="preserve">application/json</w:t>
            </w:r>
            <w:r>
              <w:rPr>
                <w:rFonts w:ascii="Calibri" w:cs="Calibri" w:eastAsia="Calibri" w:hAnsi="Calibri"/>
                <w:b w:val="false"/>
                <w:bCs w:val="false"/>
                <w:i w:val="false"/>
                <w:iCs w:val="false"/>
                <w:strike w:val="false"/>
                <w:color w:val="000000"/>
                <w:sz w:val="22"/>
                <w:szCs w:val="22"/>
              </w:rPr>
              <w:t xml:space="preserve">. Test with a push and verify payload delivery.</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 hr</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Low — application layer only</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7</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Decommission old CGI handler</w:t>
            </w:r>
          </w:p>
        </w:tc>
        <w:tc>
          <w:tcPr>
            <w:tcW w:type="pct" w:w="5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Remove the CGI handler mapping for </w:t>
            </w:r>
            <w:r>
              <w:rPr>
                <w:rFonts w:ascii="Courier New" w:cs="Courier New" w:eastAsia="Courier New" w:hAnsi="Courier New"/>
                <w:b w:val="false"/>
                <w:bCs w:val="false"/>
                <w:i w:val="false"/>
                <w:iCs w:val="false"/>
                <w:color w:val="000000"/>
                <w:sz w:val="20"/>
                <w:szCs w:val="20"/>
                <w:shd w:fill="F3F4F6" w:color="auto" w:val="clear"/>
              </w:rPr>
              <w:t xml:space="preserve">git-http-backend.exe</w:t>
            </w:r>
            <w:r>
              <w:rPr>
                <w:rFonts w:ascii="Calibri" w:cs="Calibri" w:eastAsia="Calibri" w:hAnsi="Calibri"/>
                <w:b w:val="false"/>
                <w:bCs w:val="false"/>
                <w:i w:val="false"/>
                <w:iCs w:val="false"/>
                <w:strike w:val="false"/>
                <w:color w:val="000000"/>
                <w:sz w:val="22"/>
                <w:szCs w:val="22"/>
              </w:rPr>
              <w:t xml:space="preserve"> from IIS. Remove the old virtual directory pointing to </w:t>
            </w:r>
            <w:r>
              <w:rPr>
                <w:rFonts w:ascii="Courier New" w:cs="Courier New" w:eastAsia="Courier New" w:hAnsi="Courier New"/>
                <w:b w:val="false"/>
                <w:bCs w:val="false"/>
                <w:i w:val="false"/>
                <w:iCs w:val="false"/>
                <w:color w:val="000000"/>
                <w:sz w:val="20"/>
                <w:szCs w:val="20"/>
                <w:shd w:fill="F3F4F6" w:color="auto" w:val="clear"/>
              </w:rPr>
              <w:t xml:space="preserve">D:\GitRepos\</w:t>
            </w:r>
            <w:r>
              <w:rPr>
                <w:rFonts w:ascii="Calibri" w:cs="Calibri" w:eastAsia="Calibri" w:hAnsi="Calibri"/>
                <w:b w:val="false"/>
                <w:bCs w:val="false"/>
                <w:i w:val="false"/>
                <w:iCs w:val="false"/>
                <w:strike w:val="false"/>
                <w:color w:val="000000"/>
                <w:sz w:val="22"/>
                <w:szCs w:val="22"/>
              </w:rPr>
              <w:t xml:space="preserve">. Gitea now owns all Git operations. IIS no longer invokes CGI processes.</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15 min</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None — already bypassed in Phase 4</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8</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Validation and cutover</w:t>
            </w:r>
          </w:p>
        </w:tc>
        <w:tc>
          <w:tcPr>
            <w:tcW w:type="pct" w:w="5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Full validation checklist: (a) </w:t>
            </w:r>
            <w:r>
              <w:rPr>
                <w:rFonts w:ascii="Courier New" w:cs="Courier New" w:eastAsia="Courier New" w:hAnsi="Courier New"/>
                <w:b w:val="false"/>
                <w:bCs w:val="false"/>
                <w:i w:val="false"/>
                <w:iCs w:val="false"/>
                <w:color w:val="000000"/>
                <w:sz w:val="20"/>
                <w:szCs w:val="20"/>
                <w:shd w:fill="F3F4F6" w:color="auto" w:val="clear"/>
              </w:rPr>
              <w:t xml:space="preserve">git clone</w:t>
            </w:r>
            <w:r>
              <w:rPr>
                <w:rFonts w:ascii="Calibri" w:cs="Calibri" w:eastAsia="Calibri" w:hAnsi="Calibri"/>
                <w:b w:val="false"/>
                <w:bCs w:val="false"/>
                <w:i w:val="false"/>
                <w:iCs w:val="false"/>
                <w:strike w:val="false"/>
                <w:color w:val="000000"/>
                <w:sz w:val="22"/>
                <w:szCs w:val="22"/>
              </w:rPr>
              <w:t xml:space="preserve"> via HTTPS, (b) </w:t>
            </w:r>
            <w:r>
              <w:rPr>
                <w:rFonts w:ascii="Courier New" w:cs="Courier New" w:eastAsia="Courier New" w:hAnsi="Courier New"/>
                <w:b w:val="false"/>
                <w:bCs w:val="false"/>
                <w:i w:val="false"/>
                <w:iCs w:val="false"/>
                <w:color w:val="000000"/>
                <w:sz w:val="20"/>
                <w:szCs w:val="20"/>
                <w:shd w:fill="F3F4F6" w:color="auto" w:val="clear"/>
              </w:rPr>
              <w:t xml:space="preserve">git push</w:t>
            </w:r>
            <w:r>
              <w:rPr>
                <w:rFonts w:ascii="Calibri" w:cs="Calibri" w:eastAsia="Calibri" w:hAnsi="Calibri"/>
                <w:b w:val="false"/>
                <w:bCs w:val="false"/>
                <w:i w:val="false"/>
                <w:iCs w:val="false"/>
                <w:strike w:val="false"/>
                <w:color w:val="000000"/>
                <w:sz w:val="22"/>
                <w:szCs w:val="22"/>
              </w:rPr>
              <w:t xml:space="preserve"> with AD credentials, (c) API call with bearer token, (d) OAuth2 login via Entra ID, (e) webhook delivery on push, (f) web UI code browsing. Update all client remote URLs. Document final configuration.</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 hr</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None — validation only</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180"/>
              <w:left w:type="dxa" w:w="180"/>
              <w:bottom w:type="dxa" w:w="180"/>
              <w:right w:type="dxa" w:w="180"/>
            </w:tcMar>
          </w:tcPr>
          <w:p>
            <w:pPr>
              <w:spacing w:after="120" w:line="408" w:lineRule="auto"/>
            </w:pPr>
            <w:r>
              <w:rPr>
                <w:b/>
                <w:bCs/>
                <w:i w:val="false"/>
                <w:iCs w:val="false"/>
                <w:color w:val="000000"/>
              </w:rPr>
              <w:t xml:space="preserve">TOTAL ESTIMATED EFFORT</w:t>
            </w:r>
          </w:p>
          <w:p>
            <w:pPr>
              <w:spacing w:after="120" w:line="360" w:lineRule="auto"/>
            </w:pPr>
            <w:r>
              <w:rPr>
                <w:rFonts w:ascii="Calibri" w:cs="Calibri" w:eastAsia="Calibri" w:hAnsi="Calibri"/>
                <w:b w:val="false"/>
                <w:bCs w:val="false"/>
                <w:i w:val="false"/>
                <w:iCs w:val="false"/>
                <w:strike w:val="false"/>
                <w:color w:val="000000"/>
                <w:sz w:val="22"/>
                <w:szCs w:val="22"/>
              </w:rPr>
              <w:t xml:space="preserve">Approximately </w:t>
            </w:r>
            <w:r>
              <w:rPr>
                <w:rFonts w:ascii="Calibri" w:cs="Calibri" w:eastAsia="Calibri" w:hAnsi="Calibri"/>
                <w:b/>
                <w:bCs/>
                <w:i w:val="false"/>
                <w:iCs w:val="false"/>
                <w:strike w:val="false"/>
                <w:color w:val="000000"/>
                <w:sz w:val="22"/>
                <w:szCs w:val="22"/>
              </w:rPr>
              <w:t xml:space="preserve">8 hours</w:t>
            </w:r>
            <w:r>
              <w:rPr>
                <w:rFonts w:ascii="Calibri" w:cs="Calibri" w:eastAsia="Calibri" w:hAnsi="Calibri"/>
                <w:b w:val="false"/>
                <w:bCs w:val="false"/>
                <w:i w:val="false"/>
                <w:iCs w:val="false"/>
                <w:strike w:val="false"/>
                <w:color w:val="000000"/>
                <w:sz w:val="22"/>
                <w:szCs w:val="22"/>
              </w:rPr>
              <w:t xml:space="preserve"> of hands-on work across the eight phases. Phases 1–3 can be completed in a single session with zero impact on the existing IIS Git service. Phase 4 requires a brief maintenance window (15–30 minutes) for the IIS reconfiguration.</w:t>
            </w:r>
          </w:p>
        </w:tc>
      </w:tr>
    </w:tbl>
    <w:p>
      <w:pPr>
        <w:spacing w:after="240" w:before="0"/>
      </w:pPr>
    </w:p>
    <w:p>
      <w:pPr>
        <w:pStyle w:val="Heading1"/>
        <w:spacing w:after="120" w:before="480" w:line="312" w:lineRule="auto"/>
      </w:pPr>
      <w:r>
        <w:rPr>
          <w:rFonts w:ascii="Calibri" w:cs="Calibri" w:eastAsia="Calibri" w:hAnsi="Calibri"/>
          <w:color w:val="1A1A1A"/>
          <w:sz w:val="48"/>
          <w:szCs w:val="48"/>
        </w:rPr>
        <w:t xml:space="preserve">7. Risk Assessment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Risk</w:t>
            </w:r>
          </w:p>
        </w:tc>
        <w:tc>
          <w:tcPr>
            <w:tcW w:type="pct" w:w="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Severity</w:t>
            </w:r>
          </w:p>
        </w:tc>
        <w:tc>
          <w:tcPr>
            <w:tcW w:type="pct" w:w="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Likelihood</w:t>
            </w:r>
          </w:p>
        </w:tc>
        <w:tc>
          <w:tcPr>
            <w:tcW w:type="pct" w:w="6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Mitigation</w:t>
            </w:r>
          </w:p>
        </w:tc>
      </w:tr>
      <w:tr>
        <w:trPr>
          <w:tblHeader w:val="false"/>
        </w:trPr>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Gitea is open-source (MIT license) — organizational policy may restrict OSS in production</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Medium</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Low</w:t>
            </w:r>
          </w:p>
        </w:tc>
        <w:tc>
          <w:tcPr>
            <w:tcW w:type="pct" w:w="6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Gitea is MIT-licensed — the most permissive OSS license. It has 54,000+ GitHub stars, is actively maintained by Gitea Ltd., and has a governance fork (Forgejo) under the Codeberg e.V. nonprofit as continuity insurance. MIT license imposes no copyleft obligations. If OSS is policy-blocked, Option E (custom ASP.NET Core) is the fallback.</w:t>
            </w:r>
          </w:p>
        </w:tc>
      </w:tr>
      <w:tr>
        <w:trPr>
          <w:tblHeader w:val="false"/>
        </w:trPr>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Single binary dependency — supply chain risk</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Medium</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Low</w:t>
            </w:r>
          </w:p>
        </w:tc>
        <w:tc>
          <w:tcPr>
            <w:tcW w:type="pct" w:w="6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Version-pin the Gitea binary. Download from official GitHub Releases. Verify SHA-256 checksum against the published hash. Maintain an offline copy of the installer in a secured file share. Gitea releases are signed with GPG keys.</w:t>
            </w:r>
          </w:p>
        </w:tc>
      </w:tr>
      <w:tr>
        <w:trPr>
          <w:tblHeader w:val="false"/>
        </w:trPr>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LDAP credential exposure — BindDN password stored in Gitea config</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Medium</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Low</w:t>
            </w:r>
          </w:p>
        </w:tc>
        <w:tc>
          <w:tcPr>
            <w:tcW w:type="pct" w:w="6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Use a dedicated read-only service account with minimal AD permissions (read </w:t>
            </w:r>
            <w:r>
              <w:rPr>
                <w:rFonts w:ascii="Courier New" w:cs="Courier New" w:eastAsia="Courier New" w:hAnsi="Courier New"/>
                <w:b w:val="false"/>
                <w:bCs w:val="false"/>
                <w:i w:val="false"/>
                <w:iCs w:val="false"/>
                <w:color w:val="000000"/>
                <w:sz w:val="20"/>
                <w:szCs w:val="20"/>
                <w:shd w:fill="F3F4F6" w:color="auto" w:val="clear"/>
              </w:rPr>
              <w:t xml:space="preserve">sAMAccountName</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mail</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displayName</w:t>
            </w:r>
            <w:r>
              <w:rPr>
                <w:rFonts w:ascii="Calibri" w:cs="Calibri" w:eastAsia="Calibri" w:hAnsi="Calibri"/>
                <w:b w:val="false"/>
                <w:bCs w:val="false"/>
                <w:i w:val="false"/>
                <w:iCs w:val="false"/>
                <w:strike w:val="false"/>
                <w:color w:val="000000"/>
                <w:sz w:val="22"/>
                <w:szCs w:val="22"/>
              </w:rPr>
              <w:t xml:space="preserve"> only). Restrict the </w:t>
            </w:r>
            <w:r>
              <w:rPr>
                <w:rFonts w:ascii="Courier New" w:cs="Courier New" w:eastAsia="Courier New" w:hAnsi="Courier New"/>
                <w:b w:val="false"/>
                <w:bCs w:val="false"/>
                <w:i w:val="false"/>
                <w:iCs w:val="false"/>
                <w:color w:val="000000"/>
                <w:sz w:val="20"/>
                <w:szCs w:val="20"/>
                <w:shd w:fill="F3F4F6" w:color="auto" w:val="clear"/>
              </w:rPr>
              <w:t xml:space="preserve">app.ini</w:t>
            </w:r>
            <w:r>
              <w:rPr>
                <w:rFonts w:ascii="Calibri" w:cs="Calibri" w:eastAsia="Calibri" w:hAnsi="Calibri"/>
                <w:b w:val="false"/>
                <w:bCs w:val="false"/>
                <w:i w:val="false"/>
                <w:iCs w:val="false"/>
                <w:strike w:val="false"/>
                <w:color w:val="000000"/>
                <w:sz w:val="22"/>
                <w:szCs w:val="22"/>
              </w:rPr>
              <w:t xml:space="preserve"> file with NTFS ACLs to the Gitea service account and Administrators only. The bind account cannot modify AD objects.</w:t>
            </w:r>
          </w:p>
        </w:tc>
      </w:tr>
      <w:tr>
        <w:trPr>
          <w:tblHeader w:val="false"/>
        </w:trPr>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Gitea software vulnerability — CVE in the Go binary</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High</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Low</w:t>
            </w:r>
          </w:p>
        </w:tc>
        <w:tc>
          <w:tcPr>
            <w:tcW w:type="pct" w:w="6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Defense-in-depth: IIS request filtering blocks many attack vectors before they reach Gitea. Gitea listens on localhost only — not directly network-reachable. Subscribe to Gitea security advisories (GitHub notifications). Apply updates within 72 hours of critical CVE publication. IIS IP restrictions limit access to authorized networks.</w:t>
            </w:r>
          </w:p>
        </w:tc>
      </w:tr>
      <w:tr>
        <w:trPr>
          <w:tblHeader w:val="false"/>
        </w:trPr>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Performance under load — Gitea handling concurrent operations</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Low</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Very Low</w:t>
            </w:r>
          </w:p>
        </w:tc>
        <w:tc>
          <w:tcPr>
            <w:tcW w:type="pct" w:w="6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UIAO is a single-repository, low-user-count environment. Gitea's Go-based concurrency model handles hundreds of concurrent connections. SQLite is adequate for &lt; 10 concurrent writers. IIS output caching can cache static API responses. This risk is theoretical for the UIAO workload.</w:t>
            </w:r>
          </w:p>
        </w:tc>
      </w:tr>
      <w:tr>
        <w:trPr>
          <w:tblHeader w:val="false"/>
        </w:trPr>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SQLite database corruption — power loss or improper shutdown</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Medium</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Low</w:t>
            </w:r>
          </w:p>
        </w:tc>
        <w:tc>
          <w:tcPr>
            <w:tcW w:type="pct" w:w="6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SQLite WAL mode (Gitea default) provides crash resilience. The SQLite database stores metadata only (users, tokens, webhooks) — Git repository data is in bare repos on the filesystem and is unaffected. Daily backup of </w:t>
            </w:r>
            <w:r>
              <w:rPr>
                <w:rFonts w:ascii="Courier New" w:cs="Courier New" w:eastAsia="Courier New" w:hAnsi="Courier New"/>
                <w:b w:val="false"/>
                <w:bCs w:val="false"/>
                <w:i w:val="false"/>
                <w:iCs w:val="false"/>
                <w:color w:val="000000"/>
                <w:sz w:val="20"/>
                <w:szCs w:val="20"/>
                <w:shd w:fill="F3F4F6" w:color="auto" w:val="clear"/>
              </w:rPr>
              <w:t xml:space="preserve">gitea.db</w:t>
            </w:r>
            <w:r>
              <w:rPr>
                <w:rFonts w:ascii="Calibri" w:cs="Calibri" w:eastAsia="Calibri" w:hAnsi="Calibri"/>
                <w:b w:val="false"/>
                <w:bCs w:val="false"/>
                <w:i w:val="false"/>
                <w:iCs w:val="false"/>
                <w:strike w:val="false"/>
                <w:color w:val="000000"/>
                <w:sz w:val="22"/>
                <w:szCs w:val="22"/>
              </w:rPr>
              <w:t xml:space="preserve"> to a separate volume. UPS on the server.</w:t>
            </w:r>
          </w:p>
        </w:tc>
      </w:tr>
      <w:tr>
        <w:trPr>
          <w:tblHeader w:val="false"/>
        </w:trPr>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IIS ARR module not installed — reverse proxy fails</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Low</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Medium</w:t>
            </w:r>
          </w:p>
        </w:tc>
        <w:tc>
          <w:tcPr>
            <w:tcW w:type="pct" w:w="6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ARR and URL Rewrite are optional IIS modules that must be explicitly installed. Include them in the server build checklist. Test reverse proxy configuration in Phase 4 before decommissioning CGI handler.</w:t>
            </w:r>
          </w:p>
        </w:tc>
      </w:tr>
      <w:tr>
        <w:trPr>
          <w:tblHeader w:val="false"/>
        </w:trPr>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Entra ID app registration expires — OAuth2 login fails</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Medium</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Medium</w:t>
            </w:r>
          </w:p>
        </w:tc>
        <w:tc>
          <w:tcPr>
            <w:tcW w:type="pct" w:w="6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Set client secret expiration to maximum (24 months). Create a calendar reminder 30 days before expiry. LDAP/AD authentication remains functional as fallback — users can always log in with domain credentials if OAuth2 is disrupted.</w:t>
            </w:r>
          </w:p>
        </w:tc>
      </w:tr>
    </w:tbl>
    <w:p>
      <w:pPr>
        <w:spacing w:after="200" w:before="0"/>
      </w:pPr>
    </w:p>
    <w:p>
      <w:pPr>
        <w:pStyle w:val="Heading1"/>
        <w:spacing w:after="120" w:before="480" w:line="312" w:lineRule="auto"/>
      </w:pPr>
      <w:r>
        <w:rPr>
          <w:rFonts w:ascii="Calibri" w:cs="Calibri" w:eastAsia="Calibri" w:hAnsi="Calibri"/>
          <w:color w:val="1A1A1A"/>
          <w:sz w:val="48"/>
          <w:szCs w:val="48"/>
        </w:rPr>
        <w:t xml:space="preserve">8. Decision Record</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section follows the standard Architecture Decision Record format.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Field</w:t>
            </w:r>
          </w:p>
        </w:tc>
        <w:tc>
          <w:tcPr>
            <w:tcW w:type="pct" w:w="9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Value</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ADR Number</w:t>
            </w:r>
          </w:p>
        </w:tc>
        <w:tc>
          <w:tcPr>
            <w:tcW w:type="pct" w:w="9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ADR-001</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Title</w:t>
            </w:r>
          </w:p>
        </w:tc>
        <w:tc>
          <w:tcPr>
            <w:tcW w:type="pct" w:w="9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UIAO Git Infrastructure Platform Selection</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Status</w:t>
            </w:r>
          </w:p>
        </w:tc>
        <w:tc>
          <w:tcPr>
            <w:tcW w:type="pct" w:w="90%"/>
            <w:tcMar>
              <w:top w:type="dxa" w:w="90"/>
              <w:left w:type="dxa" w:w="120"/>
              <w:bottom w:type="dxa" w:w="90"/>
              <w:right w:type="dxa" w:w="120"/>
            </w:tcMar>
          </w:tcPr>
          <w:p>
            <w:r>
              <w:rPr>
                <w:rFonts w:ascii="Calibri" w:cs="Calibri" w:eastAsia="Calibri" w:hAnsi="Calibri"/>
                <w:b/>
                <w:bCs/>
                <w:i w:val="false"/>
                <w:iCs w:val="false"/>
                <w:strike w:val="false"/>
                <w:color w:val="CC7A00"/>
                <w:sz w:val="22"/>
                <w:szCs w:val="22"/>
              </w:rPr>
              <w:t xml:space="preserve">PROPOSED</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Date</w:t>
            </w:r>
          </w:p>
        </w:tc>
        <w:tc>
          <w:tcPr>
            <w:tcW w:type="pct" w:w="9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2026-04-20</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Author</w:t>
            </w:r>
          </w:p>
        </w:tc>
        <w:tc>
          <w:tcPr>
            <w:tcW w:type="pct" w:w="9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Michael Stratton, Canon Steward</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Decision</w:t>
            </w:r>
          </w:p>
        </w:tc>
        <w:tc>
          <w:tcPr>
            <w:tcW w:type="pct" w:w="9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Adopt Gitea (Community Edition, MIT license) on Windows Server 2025 behind IIS reverse proxy as the UIAO Git infrastructure platform, replacing the current IIS + git-http-backend (CGI) configuration.</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Context</w:t>
            </w:r>
          </w:p>
        </w:tc>
        <w:tc>
          <w:tcPr>
            <w:tcW w:type="pct" w:w="9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UIAO requires API access to code (browse files, commits, branches, tags programmatically), CLI operations (clone/push/pull over HTTPS), Active Directory authentication, Entra ID / OIDC integration, webhook-driven governance automation (Intune policy deployment, Azure Arc server configuration), and API token authentication for PowerShell scripts. The current IIS + git-http-backend architecture satisfies only the CLI operations and AD authentication requirements. The remaining requirements — REST API, webhooks, Entra ID, API tokens — are structurally absent from IIS Git and cannot be added without building a custom application layer.</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Options Considered</w:t>
            </w:r>
          </w:p>
        </w:tc>
        <w:tc>
          <w:tcPr>
            <w:tcW w:type="pct" w:w="9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 IIS + git-http-backend only — insufficient. (B) Gitea + IIS reverse proxy — recommended. (C) Azure DevOps Server — overkill. (D) Gogs + IIS — inferior to Gitea. (E) Custom ASP.NET Core API — last resort.</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Decision Rationale</w:t>
            </w:r>
          </w:p>
        </w:tc>
        <w:tc>
          <w:tcPr>
            <w:tcW w:type="pct" w:w="9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Gitea satisfies all 12 UIAO requirements, runs as a single binary on Windows with no external database requirement (SQLite), has an MIT license with no copyleft restrictions, provides a full OpenAPI-documented REST API, supports both LDAP/AD and OAuth2/OIDC authentication natively, includes a webhook system for event-driven automation, and integrates with IIS as a reverse proxy — preserving IIS's role as the TLS/security perimeter. Total server footprint increase is approximately 100 MB binary + 50 MB runtime memory.</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Consequences</w:t>
            </w:r>
          </w:p>
        </w:tc>
        <w:tc>
          <w:tcPr>
            <w:tcW w:type="pct" w:w="9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Positive:</w:t>
            </w:r>
            <w:r>
              <w:rPr>
                <w:rFonts w:ascii="Calibri" w:cs="Calibri" w:eastAsia="Calibri" w:hAnsi="Calibri"/>
                <w:b w:val="false"/>
                <w:bCs w:val="false"/>
                <w:i w:val="false"/>
                <w:iCs w:val="false"/>
                <w:strike w:val="false"/>
                <w:color w:val="000000"/>
                <w:sz w:val="22"/>
                <w:szCs w:val="22"/>
              </w:rPr>
              <w:t xml:space="preserve"> Full REST API surface for governance automation. Native Entra ID SSO. Webhook-driven pipeline from push → Graph API → Intune. Web-based code browsing. API tokens for PowerShell automation. IIS promoted to security perimeter role.</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Negative:</w:t>
            </w:r>
            <w:r>
              <w:rPr>
                <w:rFonts w:ascii="Calibri" w:cs="Calibri" w:eastAsia="Calibri" w:hAnsi="Calibri"/>
                <w:b w:val="false"/>
                <w:bCs w:val="false"/>
                <w:i w:val="false"/>
                <w:iCs w:val="false"/>
                <w:strike w:val="false"/>
                <w:color w:val="000000"/>
                <w:sz w:val="22"/>
                <w:szCs w:val="22"/>
              </w:rPr>
              <w:t xml:space="preserve"> Adds one new binary to server (Gitea). Requires LDAP service account configuration. Introduces SQLite database for metadata. Requires IIS ARR module installation. Gitea upgrade cadence adds minor operational overhead.</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Neutral:</w:t>
            </w:r>
            <w:r>
              <w:rPr>
                <w:rFonts w:ascii="Calibri" w:cs="Calibri" w:eastAsia="Calibri" w:hAnsi="Calibri"/>
                <w:b w:val="false"/>
                <w:bCs w:val="false"/>
                <w:i w:val="false"/>
                <w:iCs w:val="false"/>
                <w:strike w:val="false"/>
                <w:color w:val="000000"/>
                <w:sz w:val="22"/>
                <w:szCs w:val="22"/>
              </w:rPr>
              <w:t xml:space="preserve"> Active-passive replication remains custom regardless of platform choice. GCC-Moderate boundary compliance is unchanged — all components run on-premises.</w:t>
            </w:r>
          </w:p>
        </w:tc>
      </w:tr>
    </w:tbl>
    <w:p>
      <w:pPr>
        <w:spacing w:after="200" w:before="0"/>
      </w:pPr>
    </w:p>
    <w:p>
      <w:pPr>
        <w:pStyle w:val="Heading1"/>
        <w:spacing w:after="120" w:before="480" w:line="312" w:lineRule="auto"/>
      </w:pPr>
      <w:r>
        <w:rPr>
          <w:rFonts w:ascii="Calibri" w:cs="Calibri" w:eastAsia="Calibri" w:hAnsi="Calibri"/>
          <w:color w:val="1A1A1A"/>
          <w:sz w:val="48"/>
          <w:szCs w:val="48"/>
        </w:rPr>
        <w:t xml:space="preserve">Appendix A: Gitea vs. IIS Git Capability Matrix</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Comprehensive comparison of the current IIS + git-http-backend architecture against the proposed Gitea + IIS reverse proxy architecture.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t>
            </w:r>
          </w:p>
        </w:tc>
        <w:tc>
          <w:tcPr>
            <w:tcW w:type="pct" w:w="2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Capability</w:t>
            </w:r>
          </w:p>
        </w:tc>
        <w:tc>
          <w:tcPr>
            <w:tcW w:type="pct" w:w="2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IIS + git-http-backend</w:t>
            </w:r>
          </w:p>
        </w:tc>
        <w:tc>
          <w:tcPr>
            <w:tcW w:type="pct" w:w="4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Gitea + IIS Reverse Proxy</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Git clone over HTTPS</w:t>
            </w:r>
          </w:p>
        </w:tc>
        <w:tc>
          <w:tcPr>
            <w:tcW w:type="pct" w:w="23%"/>
            <w:tcMar>
              <w:top w:type="dxa" w:w="90"/>
              <w:left w:type="dxa" w:w="120"/>
              <w:bottom w:type="dxa" w:w="90"/>
              <w:right w:type="dxa" w:w="120"/>
            </w:tcMar>
          </w:tcPr>
          <w:p>
            <w:r>
              <w:rPr>
                <w:rFonts w:ascii="Calibri" w:cs="Calibri" w:eastAsia="Calibri" w:hAnsi="Calibri"/>
                <w:b/>
                <w:bCs/>
                <w:i w:val="false"/>
                <w:iCs w:val="false"/>
                <w:strike w:val="false"/>
                <w:color w:val="006600"/>
                <w:sz w:val="22"/>
                <w:szCs w:val="22"/>
              </w:rPr>
              <w:t xml:space="preserve">✓ Native CGI</w:t>
            </w:r>
          </w:p>
        </w:tc>
        <w:tc>
          <w:tcPr>
            <w:tcW w:type="pct" w:w="41%"/>
            <w:tcMar>
              <w:top w:type="dxa" w:w="90"/>
              <w:left w:type="dxa" w:w="120"/>
              <w:bottom w:type="dxa" w:w="90"/>
              <w:right w:type="dxa" w:w="120"/>
            </w:tcMar>
          </w:tcPr>
          <w:p>
            <w:r>
              <w:rPr>
                <w:rFonts w:ascii="Calibri" w:cs="Calibri" w:eastAsia="Calibri" w:hAnsi="Calibri"/>
                <w:b/>
                <w:bCs/>
                <w:i w:val="false"/>
                <w:iCs w:val="false"/>
                <w:strike w:val="false"/>
                <w:color w:val="006600"/>
                <w:sz w:val="22"/>
                <w:szCs w:val="22"/>
              </w:rPr>
              <w:t xml:space="preserve">✓ Built-in</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Git push over HTTPS</w:t>
            </w:r>
          </w:p>
        </w:tc>
        <w:tc>
          <w:tcPr>
            <w:tcW w:type="pct" w:w="23%"/>
            <w:tcMar>
              <w:top w:type="dxa" w:w="90"/>
              <w:left w:type="dxa" w:w="120"/>
              <w:bottom w:type="dxa" w:w="90"/>
              <w:right w:type="dxa" w:w="120"/>
            </w:tcMar>
          </w:tcPr>
          <w:p>
            <w:r>
              <w:rPr>
                <w:rFonts w:ascii="Calibri" w:cs="Calibri" w:eastAsia="Calibri" w:hAnsi="Calibri"/>
                <w:b/>
                <w:bCs/>
                <w:i w:val="false"/>
                <w:iCs w:val="false"/>
                <w:strike w:val="false"/>
                <w:color w:val="006600"/>
                <w:sz w:val="22"/>
                <w:szCs w:val="22"/>
              </w:rPr>
              <w:t xml:space="preserve">✓ Native CGI</w:t>
            </w:r>
          </w:p>
        </w:tc>
        <w:tc>
          <w:tcPr>
            <w:tcW w:type="pct" w:w="41%"/>
            <w:tcMar>
              <w:top w:type="dxa" w:w="90"/>
              <w:left w:type="dxa" w:w="120"/>
              <w:bottom w:type="dxa" w:w="90"/>
              <w:right w:type="dxa" w:w="120"/>
            </w:tcMar>
          </w:tcPr>
          <w:p>
            <w:r>
              <w:rPr>
                <w:rFonts w:ascii="Calibri" w:cs="Calibri" w:eastAsia="Calibri" w:hAnsi="Calibri"/>
                <w:b/>
                <w:bCs/>
                <w:i w:val="false"/>
                <w:iCs w:val="false"/>
                <w:strike w:val="false"/>
                <w:color w:val="006600"/>
                <w:sz w:val="22"/>
                <w:szCs w:val="22"/>
              </w:rPr>
              <w:t xml:space="preserve">✓ Built-in</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Git pull/fetch over HTTPS</w:t>
            </w:r>
          </w:p>
        </w:tc>
        <w:tc>
          <w:tcPr>
            <w:tcW w:type="pct" w:w="23%"/>
            <w:tcMar>
              <w:top w:type="dxa" w:w="90"/>
              <w:left w:type="dxa" w:w="120"/>
              <w:bottom w:type="dxa" w:w="90"/>
              <w:right w:type="dxa" w:w="120"/>
            </w:tcMar>
          </w:tcPr>
          <w:p>
            <w:r>
              <w:rPr>
                <w:rFonts w:ascii="Calibri" w:cs="Calibri" w:eastAsia="Calibri" w:hAnsi="Calibri"/>
                <w:b/>
                <w:bCs/>
                <w:i w:val="false"/>
                <w:iCs w:val="false"/>
                <w:strike w:val="false"/>
                <w:color w:val="006600"/>
                <w:sz w:val="22"/>
                <w:szCs w:val="22"/>
              </w:rPr>
              <w:t xml:space="preserve">✓ Native CGI</w:t>
            </w:r>
          </w:p>
        </w:tc>
        <w:tc>
          <w:tcPr>
            <w:tcW w:type="pct" w:w="41%"/>
            <w:tcMar>
              <w:top w:type="dxa" w:w="90"/>
              <w:left w:type="dxa" w:w="120"/>
              <w:bottom w:type="dxa" w:w="90"/>
              <w:right w:type="dxa" w:w="120"/>
            </w:tcMar>
          </w:tcPr>
          <w:p>
            <w:r>
              <w:rPr>
                <w:rFonts w:ascii="Calibri" w:cs="Calibri" w:eastAsia="Calibri" w:hAnsi="Calibri"/>
                <w:b/>
                <w:bCs/>
                <w:i w:val="false"/>
                <w:iCs w:val="false"/>
                <w:strike w:val="false"/>
                <w:color w:val="006600"/>
                <w:sz w:val="22"/>
                <w:szCs w:val="22"/>
              </w:rPr>
              <w:t xml:space="preserve">✓ Built-in</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4</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Git clone over SSH</w:t>
            </w:r>
          </w:p>
        </w:tc>
        <w:tc>
          <w:tcPr>
            <w:tcW w:type="pct" w:w="23%"/>
            <w:tcMar>
              <w:top w:type="dxa" w:w="90"/>
              <w:left w:type="dxa" w:w="120"/>
              <w:bottom w:type="dxa" w:w="90"/>
              <w:right w:type="dxa" w:w="120"/>
            </w:tcMar>
          </w:tcPr>
          <w:p>
            <w:r>
              <w:rPr>
                <w:rFonts w:ascii="Calibri" w:cs="Calibri" w:eastAsia="Calibri" w:hAnsi="Calibri"/>
                <w:b/>
                <w:bCs/>
                <w:i w:val="false"/>
                <w:iCs w:val="false"/>
                <w:strike w:val="false"/>
                <w:color w:val="CC0000"/>
                <w:sz w:val="22"/>
                <w:szCs w:val="22"/>
              </w:rPr>
              <w:t xml:space="preserve">✗ Not supported</w:t>
            </w:r>
          </w:p>
        </w:tc>
        <w:tc>
          <w:tcPr>
            <w:tcW w:type="pct" w:w="41%"/>
            <w:tcMar>
              <w:top w:type="dxa" w:w="90"/>
              <w:left w:type="dxa" w:w="120"/>
              <w:bottom w:type="dxa" w:w="90"/>
              <w:right w:type="dxa" w:w="120"/>
            </w:tcMar>
          </w:tcPr>
          <w:p>
            <w:r>
              <w:rPr>
                <w:rFonts w:ascii="Calibri" w:cs="Calibri" w:eastAsia="Calibri" w:hAnsi="Calibri"/>
                <w:b/>
                <w:bCs/>
                <w:i w:val="false"/>
                <w:iCs w:val="false"/>
                <w:strike w:val="false"/>
                <w:color w:val="006600"/>
                <w:sz w:val="22"/>
                <w:szCs w:val="22"/>
              </w:rPr>
              <w:t xml:space="preserve">✓ Built-in SSH server</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5</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REST API — repository listing</w:t>
            </w:r>
          </w:p>
        </w:tc>
        <w:tc>
          <w:tcPr>
            <w:tcW w:type="pct" w:w="23%"/>
            <w:tcMar>
              <w:top w:type="dxa" w:w="90"/>
              <w:left w:type="dxa" w:w="120"/>
              <w:bottom w:type="dxa" w:w="90"/>
              <w:right w:type="dxa" w:w="120"/>
            </w:tcMar>
          </w:tcPr>
          <w:p>
            <w:r>
              <w:rPr>
                <w:rFonts w:ascii="Calibri" w:cs="Calibri" w:eastAsia="Calibri" w:hAnsi="Calibri"/>
                <w:b/>
                <w:bCs/>
                <w:i w:val="false"/>
                <w:iCs w:val="false"/>
                <w:strike w:val="false"/>
                <w:color w:val="CC0000"/>
                <w:sz w:val="22"/>
                <w:szCs w:val="22"/>
              </w:rPr>
              <w:t xml:space="preserve">✗</w:t>
            </w:r>
          </w:p>
        </w:tc>
        <w:tc>
          <w:tcPr>
            <w:tcW w:type="pct" w:w="41%"/>
            <w:tcMar>
              <w:top w:type="dxa" w:w="90"/>
              <w:left w:type="dxa" w:w="120"/>
              <w:bottom w:type="dxa" w:w="90"/>
              <w:right w:type="dxa" w:w="120"/>
            </w:tcMar>
          </w:tcPr>
          <w:p>
            <w:r>
              <w:rPr>
                <w:rFonts w:ascii="Calibri" w:cs="Calibri" w:eastAsia="Calibri" w:hAnsi="Calibri"/>
                <w:b/>
                <w:bCs/>
                <w:i w:val="false"/>
                <w:iCs w:val="false"/>
                <w:strike w:val="false"/>
                <w:color w:val="006600"/>
                <w:sz w:val="22"/>
                <w:szCs w:val="22"/>
              </w:rPr>
              <w:t xml:space="preserve">✓ GET /api/v1/repos/search</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6</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REST API — file contents</w:t>
            </w:r>
          </w:p>
        </w:tc>
        <w:tc>
          <w:tcPr>
            <w:tcW w:type="pct" w:w="23%"/>
            <w:tcMar>
              <w:top w:type="dxa" w:w="90"/>
              <w:left w:type="dxa" w:w="120"/>
              <w:bottom w:type="dxa" w:w="90"/>
              <w:right w:type="dxa" w:w="120"/>
            </w:tcMar>
          </w:tcPr>
          <w:p>
            <w:r>
              <w:rPr>
                <w:rFonts w:ascii="Calibri" w:cs="Calibri" w:eastAsia="Calibri" w:hAnsi="Calibri"/>
                <w:b/>
                <w:bCs/>
                <w:i w:val="false"/>
                <w:iCs w:val="false"/>
                <w:strike w:val="false"/>
                <w:color w:val="CC0000"/>
                <w:sz w:val="22"/>
                <w:szCs w:val="22"/>
              </w:rPr>
              <w:t xml:space="preserve">✗</w:t>
            </w:r>
          </w:p>
        </w:tc>
        <w:tc>
          <w:tcPr>
            <w:tcW w:type="pct" w:w="41%"/>
            <w:tcMar>
              <w:top w:type="dxa" w:w="90"/>
              <w:left w:type="dxa" w:w="120"/>
              <w:bottom w:type="dxa" w:w="90"/>
              <w:right w:type="dxa" w:w="120"/>
            </w:tcMar>
          </w:tcPr>
          <w:p>
            <w:r>
              <w:rPr>
                <w:rFonts w:ascii="Calibri" w:cs="Calibri" w:eastAsia="Calibri" w:hAnsi="Calibri"/>
                <w:b/>
                <w:bCs/>
                <w:i w:val="false"/>
                <w:iCs w:val="false"/>
                <w:strike w:val="false"/>
                <w:color w:val="006600"/>
                <w:sz w:val="22"/>
                <w:szCs w:val="22"/>
              </w:rPr>
              <w:t xml:space="preserve">✓ GET /api/v1/repos/:owner/:repo/contents/:path</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7</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REST API — commit history</w:t>
            </w:r>
          </w:p>
        </w:tc>
        <w:tc>
          <w:tcPr>
            <w:tcW w:type="pct" w:w="23%"/>
            <w:tcMar>
              <w:top w:type="dxa" w:w="90"/>
              <w:left w:type="dxa" w:w="120"/>
              <w:bottom w:type="dxa" w:w="90"/>
              <w:right w:type="dxa" w:w="120"/>
            </w:tcMar>
          </w:tcPr>
          <w:p>
            <w:r>
              <w:rPr>
                <w:rFonts w:ascii="Calibri" w:cs="Calibri" w:eastAsia="Calibri" w:hAnsi="Calibri"/>
                <w:b/>
                <w:bCs/>
                <w:i w:val="false"/>
                <w:iCs w:val="false"/>
                <w:strike w:val="false"/>
                <w:color w:val="CC0000"/>
                <w:sz w:val="22"/>
                <w:szCs w:val="22"/>
              </w:rPr>
              <w:t xml:space="preserve">✗</w:t>
            </w:r>
          </w:p>
        </w:tc>
        <w:tc>
          <w:tcPr>
            <w:tcW w:type="pct" w:w="41%"/>
            <w:tcMar>
              <w:top w:type="dxa" w:w="90"/>
              <w:left w:type="dxa" w:w="120"/>
              <w:bottom w:type="dxa" w:w="90"/>
              <w:right w:type="dxa" w:w="120"/>
            </w:tcMar>
          </w:tcPr>
          <w:p>
            <w:r>
              <w:rPr>
                <w:rFonts w:ascii="Calibri" w:cs="Calibri" w:eastAsia="Calibri" w:hAnsi="Calibri"/>
                <w:b/>
                <w:bCs/>
                <w:i w:val="false"/>
                <w:iCs w:val="false"/>
                <w:strike w:val="false"/>
                <w:color w:val="006600"/>
                <w:sz w:val="22"/>
                <w:szCs w:val="22"/>
              </w:rPr>
              <w:t xml:space="preserve">✓ GET /api/v1/repos/:owner/:repo/git/commits</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8</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REST API — branch listing</w:t>
            </w:r>
          </w:p>
        </w:tc>
        <w:tc>
          <w:tcPr>
            <w:tcW w:type="pct" w:w="23%"/>
            <w:tcMar>
              <w:top w:type="dxa" w:w="90"/>
              <w:left w:type="dxa" w:w="120"/>
              <w:bottom w:type="dxa" w:w="90"/>
              <w:right w:type="dxa" w:w="120"/>
            </w:tcMar>
          </w:tcPr>
          <w:p>
            <w:r>
              <w:rPr>
                <w:rFonts w:ascii="Calibri" w:cs="Calibri" w:eastAsia="Calibri" w:hAnsi="Calibri"/>
                <w:b/>
                <w:bCs/>
                <w:i w:val="false"/>
                <w:iCs w:val="false"/>
                <w:strike w:val="false"/>
                <w:color w:val="CC0000"/>
                <w:sz w:val="22"/>
                <w:szCs w:val="22"/>
              </w:rPr>
              <w:t xml:space="preserve">✗</w:t>
            </w:r>
          </w:p>
        </w:tc>
        <w:tc>
          <w:tcPr>
            <w:tcW w:type="pct" w:w="41%"/>
            <w:tcMar>
              <w:top w:type="dxa" w:w="90"/>
              <w:left w:type="dxa" w:w="120"/>
              <w:bottom w:type="dxa" w:w="90"/>
              <w:right w:type="dxa" w:w="120"/>
            </w:tcMar>
          </w:tcPr>
          <w:p>
            <w:r>
              <w:rPr>
                <w:rFonts w:ascii="Calibri" w:cs="Calibri" w:eastAsia="Calibri" w:hAnsi="Calibri"/>
                <w:b/>
                <w:bCs/>
                <w:i w:val="false"/>
                <w:iCs w:val="false"/>
                <w:strike w:val="false"/>
                <w:color w:val="006600"/>
                <w:sz w:val="22"/>
                <w:szCs w:val="22"/>
              </w:rPr>
              <w:t xml:space="preserve">✓ GET /api/v1/repos/:owner/:repo/branches</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9</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REST API — tag listing</w:t>
            </w:r>
          </w:p>
        </w:tc>
        <w:tc>
          <w:tcPr>
            <w:tcW w:type="pct" w:w="23%"/>
            <w:tcMar>
              <w:top w:type="dxa" w:w="90"/>
              <w:left w:type="dxa" w:w="120"/>
              <w:bottom w:type="dxa" w:w="90"/>
              <w:right w:type="dxa" w:w="120"/>
            </w:tcMar>
          </w:tcPr>
          <w:p>
            <w:r>
              <w:rPr>
                <w:rFonts w:ascii="Calibri" w:cs="Calibri" w:eastAsia="Calibri" w:hAnsi="Calibri"/>
                <w:b/>
                <w:bCs/>
                <w:i w:val="false"/>
                <w:iCs w:val="false"/>
                <w:strike w:val="false"/>
                <w:color w:val="CC0000"/>
                <w:sz w:val="22"/>
                <w:szCs w:val="22"/>
              </w:rPr>
              <w:t xml:space="preserve">✗</w:t>
            </w:r>
          </w:p>
        </w:tc>
        <w:tc>
          <w:tcPr>
            <w:tcW w:type="pct" w:w="41%"/>
            <w:tcMar>
              <w:top w:type="dxa" w:w="90"/>
              <w:left w:type="dxa" w:w="120"/>
              <w:bottom w:type="dxa" w:w="90"/>
              <w:right w:type="dxa" w:w="120"/>
            </w:tcMar>
          </w:tcPr>
          <w:p>
            <w:r>
              <w:rPr>
                <w:rFonts w:ascii="Calibri" w:cs="Calibri" w:eastAsia="Calibri" w:hAnsi="Calibri"/>
                <w:b/>
                <w:bCs/>
                <w:i w:val="false"/>
                <w:iCs w:val="false"/>
                <w:strike w:val="false"/>
                <w:color w:val="006600"/>
                <w:sz w:val="22"/>
                <w:szCs w:val="22"/>
              </w:rPr>
              <w:t xml:space="preserve">✓ GET /api/v1/repos/:owner/:repo/tags</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10</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REST API — diff / compare</w:t>
            </w:r>
          </w:p>
        </w:tc>
        <w:tc>
          <w:tcPr>
            <w:tcW w:type="pct" w:w="23%"/>
            <w:tcMar>
              <w:top w:type="dxa" w:w="90"/>
              <w:left w:type="dxa" w:w="120"/>
              <w:bottom w:type="dxa" w:w="90"/>
              <w:right w:type="dxa" w:w="120"/>
            </w:tcMar>
          </w:tcPr>
          <w:p>
            <w:r>
              <w:rPr>
                <w:rFonts w:ascii="Calibri" w:cs="Calibri" w:eastAsia="Calibri" w:hAnsi="Calibri"/>
                <w:b/>
                <w:bCs/>
                <w:i w:val="false"/>
                <w:iCs w:val="false"/>
                <w:strike w:val="false"/>
                <w:color w:val="CC0000"/>
                <w:sz w:val="22"/>
                <w:szCs w:val="22"/>
              </w:rPr>
              <w:t xml:space="preserve">✗</w:t>
            </w:r>
          </w:p>
        </w:tc>
        <w:tc>
          <w:tcPr>
            <w:tcW w:type="pct" w:w="41%"/>
            <w:tcMar>
              <w:top w:type="dxa" w:w="90"/>
              <w:left w:type="dxa" w:w="120"/>
              <w:bottom w:type="dxa" w:w="90"/>
              <w:right w:type="dxa" w:w="120"/>
            </w:tcMar>
          </w:tcPr>
          <w:p>
            <w:r>
              <w:rPr>
                <w:rFonts w:ascii="Calibri" w:cs="Calibri" w:eastAsia="Calibri" w:hAnsi="Calibri"/>
                <w:b/>
                <w:bCs/>
                <w:i w:val="false"/>
                <w:iCs w:val="false"/>
                <w:strike w:val="false"/>
                <w:color w:val="006600"/>
                <w:sz w:val="22"/>
                <w:szCs w:val="22"/>
              </w:rPr>
              <w:t xml:space="preserve">✓ GET /api/v1/repos/:owner/:repo/compare/:base...:head</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11</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REST API — create repository</w:t>
            </w:r>
          </w:p>
        </w:tc>
        <w:tc>
          <w:tcPr>
            <w:tcW w:type="pct" w:w="23%"/>
            <w:tcMar>
              <w:top w:type="dxa" w:w="90"/>
              <w:left w:type="dxa" w:w="120"/>
              <w:bottom w:type="dxa" w:w="90"/>
              <w:right w:type="dxa" w:w="120"/>
            </w:tcMar>
          </w:tcPr>
          <w:p>
            <w:r>
              <w:rPr>
                <w:rFonts w:ascii="Calibri" w:cs="Calibri" w:eastAsia="Calibri" w:hAnsi="Calibri"/>
                <w:b/>
                <w:bCs/>
                <w:i w:val="false"/>
                <w:iCs w:val="false"/>
                <w:strike w:val="false"/>
                <w:color w:val="CC0000"/>
                <w:sz w:val="22"/>
                <w:szCs w:val="22"/>
              </w:rPr>
              <w:t xml:space="preserve">✗</w:t>
            </w:r>
          </w:p>
        </w:tc>
        <w:tc>
          <w:tcPr>
            <w:tcW w:type="pct" w:w="41%"/>
            <w:tcMar>
              <w:top w:type="dxa" w:w="90"/>
              <w:left w:type="dxa" w:w="120"/>
              <w:bottom w:type="dxa" w:w="90"/>
              <w:right w:type="dxa" w:w="120"/>
            </w:tcMar>
          </w:tcPr>
          <w:p>
            <w:r>
              <w:rPr>
                <w:rFonts w:ascii="Calibri" w:cs="Calibri" w:eastAsia="Calibri" w:hAnsi="Calibri"/>
                <w:b/>
                <w:bCs/>
                <w:i w:val="false"/>
                <w:iCs w:val="false"/>
                <w:strike w:val="false"/>
                <w:color w:val="006600"/>
                <w:sz w:val="22"/>
                <w:szCs w:val="22"/>
              </w:rPr>
              <w:t xml:space="preserve">✓ POST /api/v1/orgs/:org/repos</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12</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REST API — delete repository</w:t>
            </w:r>
          </w:p>
        </w:tc>
        <w:tc>
          <w:tcPr>
            <w:tcW w:type="pct" w:w="23%"/>
            <w:tcMar>
              <w:top w:type="dxa" w:w="90"/>
              <w:left w:type="dxa" w:w="120"/>
              <w:bottom w:type="dxa" w:w="90"/>
              <w:right w:type="dxa" w:w="120"/>
            </w:tcMar>
          </w:tcPr>
          <w:p>
            <w:r>
              <w:rPr>
                <w:rFonts w:ascii="Calibri" w:cs="Calibri" w:eastAsia="Calibri" w:hAnsi="Calibri"/>
                <w:b/>
                <w:bCs/>
                <w:i w:val="false"/>
                <w:iCs w:val="false"/>
                <w:strike w:val="false"/>
                <w:color w:val="CC0000"/>
                <w:sz w:val="22"/>
                <w:szCs w:val="22"/>
              </w:rPr>
              <w:t xml:space="preserve">✗</w:t>
            </w:r>
          </w:p>
        </w:tc>
        <w:tc>
          <w:tcPr>
            <w:tcW w:type="pct" w:w="41%"/>
            <w:tcMar>
              <w:top w:type="dxa" w:w="90"/>
              <w:left w:type="dxa" w:w="120"/>
              <w:bottom w:type="dxa" w:w="90"/>
              <w:right w:type="dxa" w:w="120"/>
            </w:tcMar>
          </w:tcPr>
          <w:p>
            <w:r>
              <w:rPr>
                <w:rFonts w:ascii="Calibri" w:cs="Calibri" w:eastAsia="Calibri" w:hAnsi="Calibri"/>
                <w:b/>
                <w:bCs/>
                <w:i w:val="false"/>
                <w:iCs w:val="false"/>
                <w:strike w:val="false"/>
                <w:color w:val="006600"/>
                <w:sz w:val="22"/>
                <w:szCs w:val="22"/>
              </w:rPr>
              <w:t xml:space="preserve">✓ DELETE /api/v1/repos/:owner/:repo</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13</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REST API — mirror repository</w:t>
            </w:r>
          </w:p>
        </w:tc>
        <w:tc>
          <w:tcPr>
            <w:tcW w:type="pct" w:w="23%"/>
            <w:tcMar>
              <w:top w:type="dxa" w:w="90"/>
              <w:left w:type="dxa" w:w="120"/>
              <w:bottom w:type="dxa" w:w="90"/>
              <w:right w:type="dxa" w:w="120"/>
            </w:tcMar>
          </w:tcPr>
          <w:p>
            <w:r>
              <w:rPr>
                <w:rFonts w:ascii="Calibri" w:cs="Calibri" w:eastAsia="Calibri" w:hAnsi="Calibri"/>
                <w:b/>
                <w:bCs/>
                <w:i w:val="false"/>
                <w:iCs w:val="false"/>
                <w:strike w:val="false"/>
                <w:color w:val="CC0000"/>
                <w:sz w:val="22"/>
                <w:szCs w:val="22"/>
              </w:rPr>
              <w:t xml:space="preserve">✗</w:t>
            </w:r>
          </w:p>
        </w:tc>
        <w:tc>
          <w:tcPr>
            <w:tcW w:type="pct" w:w="41%"/>
            <w:tcMar>
              <w:top w:type="dxa" w:w="90"/>
              <w:left w:type="dxa" w:w="120"/>
              <w:bottom w:type="dxa" w:w="90"/>
              <w:right w:type="dxa" w:w="120"/>
            </w:tcMar>
          </w:tcPr>
          <w:p>
            <w:r>
              <w:rPr>
                <w:rFonts w:ascii="Calibri" w:cs="Calibri" w:eastAsia="Calibri" w:hAnsi="Calibri"/>
                <w:b/>
                <w:bCs/>
                <w:i w:val="false"/>
                <w:iCs w:val="false"/>
                <w:strike w:val="false"/>
                <w:color w:val="006600"/>
                <w:sz w:val="22"/>
                <w:szCs w:val="22"/>
              </w:rPr>
              <w:t xml:space="preserve">✓ POST /api/v1/repos/migrate (mirror: true)</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14</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REST API — user management</w:t>
            </w:r>
          </w:p>
        </w:tc>
        <w:tc>
          <w:tcPr>
            <w:tcW w:type="pct" w:w="23%"/>
            <w:tcMar>
              <w:top w:type="dxa" w:w="90"/>
              <w:left w:type="dxa" w:w="120"/>
              <w:bottom w:type="dxa" w:w="90"/>
              <w:right w:type="dxa" w:w="120"/>
            </w:tcMar>
          </w:tcPr>
          <w:p>
            <w:r>
              <w:rPr>
                <w:rFonts w:ascii="Calibri" w:cs="Calibri" w:eastAsia="Calibri" w:hAnsi="Calibri"/>
                <w:b/>
                <w:bCs/>
                <w:i w:val="false"/>
                <w:iCs w:val="false"/>
                <w:strike w:val="false"/>
                <w:color w:val="CC0000"/>
                <w:sz w:val="22"/>
                <w:szCs w:val="22"/>
              </w:rPr>
              <w:t xml:space="preserve">✗</w:t>
            </w:r>
          </w:p>
        </w:tc>
        <w:tc>
          <w:tcPr>
            <w:tcW w:type="pct" w:w="41%"/>
            <w:tcMar>
              <w:top w:type="dxa" w:w="90"/>
              <w:left w:type="dxa" w:w="120"/>
              <w:bottom w:type="dxa" w:w="90"/>
              <w:right w:type="dxa" w:w="120"/>
            </w:tcMar>
          </w:tcPr>
          <w:p>
            <w:r>
              <w:rPr>
                <w:rFonts w:ascii="Calibri" w:cs="Calibri" w:eastAsia="Calibri" w:hAnsi="Calibri"/>
                <w:b/>
                <w:bCs/>
                <w:i w:val="false"/>
                <w:iCs w:val="false"/>
                <w:strike w:val="false"/>
                <w:color w:val="006600"/>
                <w:sz w:val="22"/>
                <w:szCs w:val="22"/>
              </w:rPr>
              <w:t xml:space="preserve">✓ /api/v1/admin/users/*</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15</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Webhooks — push event</w:t>
            </w:r>
          </w:p>
        </w:tc>
        <w:tc>
          <w:tcPr>
            <w:tcW w:type="pct" w:w="23%"/>
            <w:tcMar>
              <w:top w:type="dxa" w:w="90"/>
              <w:left w:type="dxa" w:w="120"/>
              <w:bottom w:type="dxa" w:w="90"/>
              <w:right w:type="dxa" w:w="120"/>
            </w:tcMar>
          </w:tcPr>
          <w:p>
            <w:r>
              <w:rPr>
                <w:rFonts w:ascii="Calibri" w:cs="Calibri" w:eastAsia="Calibri" w:hAnsi="Calibri"/>
                <w:b/>
                <w:bCs/>
                <w:i w:val="false"/>
                <w:iCs w:val="false"/>
                <w:strike w:val="false"/>
                <w:color w:val="CC0000"/>
                <w:sz w:val="22"/>
                <w:szCs w:val="22"/>
              </w:rPr>
              <w:t xml:space="preserve">✗</w:t>
            </w:r>
          </w:p>
        </w:tc>
        <w:tc>
          <w:tcPr>
            <w:tcW w:type="pct" w:w="41%"/>
            <w:tcMar>
              <w:top w:type="dxa" w:w="90"/>
              <w:left w:type="dxa" w:w="120"/>
              <w:bottom w:type="dxa" w:w="90"/>
              <w:right w:type="dxa" w:w="120"/>
            </w:tcMar>
          </w:tcPr>
          <w:p>
            <w:r>
              <w:rPr>
                <w:rFonts w:ascii="Calibri" w:cs="Calibri" w:eastAsia="Calibri" w:hAnsi="Calibri"/>
                <w:b/>
                <w:bCs/>
                <w:i w:val="false"/>
                <w:iCs w:val="false"/>
                <w:strike w:val="false"/>
                <w:color w:val="006600"/>
                <w:sz w:val="22"/>
                <w:szCs w:val="22"/>
              </w:rPr>
              <w:t xml:space="preserve">✓ Configurable per-repo or global</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16</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Webhooks — create/delete events</w:t>
            </w:r>
          </w:p>
        </w:tc>
        <w:tc>
          <w:tcPr>
            <w:tcW w:type="pct" w:w="23%"/>
            <w:tcMar>
              <w:top w:type="dxa" w:w="90"/>
              <w:left w:type="dxa" w:w="120"/>
              <w:bottom w:type="dxa" w:w="90"/>
              <w:right w:type="dxa" w:w="120"/>
            </w:tcMar>
          </w:tcPr>
          <w:p>
            <w:r>
              <w:rPr>
                <w:rFonts w:ascii="Calibri" w:cs="Calibri" w:eastAsia="Calibri" w:hAnsi="Calibri"/>
                <w:b/>
                <w:bCs/>
                <w:i w:val="false"/>
                <w:iCs w:val="false"/>
                <w:strike w:val="false"/>
                <w:color w:val="CC0000"/>
                <w:sz w:val="22"/>
                <w:szCs w:val="22"/>
              </w:rPr>
              <w:t xml:space="preserve">✗</w:t>
            </w:r>
          </w:p>
        </w:tc>
        <w:tc>
          <w:tcPr>
            <w:tcW w:type="pct" w:w="41%"/>
            <w:tcMar>
              <w:top w:type="dxa" w:w="90"/>
              <w:left w:type="dxa" w:w="120"/>
              <w:bottom w:type="dxa" w:w="90"/>
              <w:right w:type="dxa" w:w="120"/>
            </w:tcMar>
          </w:tcPr>
          <w:p>
            <w:r>
              <w:rPr>
                <w:rFonts w:ascii="Calibri" w:cs="Calibri" w:eastAsia="Calibri" w:hAnsi="Calibri"/>
                <w:b/>
                <w:bCs/>
                <w:i w:val="false"/>
                <w:iCs w:val="false"/>
                <w:strike w:val="false"/>
                <w:color w:val="006600"/>
                <w:sz w:val="22"/>
                <w:szCs w:val="22"/>
              </w:rPr>
              <w:t xml:space="preserve">✓ Branch, tag, repo events</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17</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Webhooks — custom payload</w:t>
            </w:r>
          </w:p>
        </w:tc>
        <w:tc>
          <w:tcPr>
            <w:tcW w:type="pct" w:w="23%"/>
            <w:tcMar>
              <w:top w:type="dxa" w:w="90"/>
              <w:left w:type="dxa" w:w="120"/>
              <w:bottom w:type="dxa" w:w="90"/>
              <w:right w:type="dxa" w:w="120"/>
            </w:tcMar>
          </w:tcPr>
          <w:p>
            <w:r>
              <w:rPr>
                <w:rFonts w:ascii="Calibri" w:cs="Calibri" w:eastAsia="Calibri" w:hAnsi="Calibri"/>
                <w:b/>
                <w:bCs/>
                <w:i w:val="false"/>
                <w:iCs w:val="false"/>
                <w:strike w:val="false"/>
                <w:color w:val="CC0000"/>
                <w:sz w:val="22"/>
                <w:szCs w:val="22"/>
              </w:rPr>
              <w:t xml:space="preserve">✗</w:t>
            </w:r>
          </w:p>
        </w:tc>
        <w:tc>
          <w:tcPr>
            <w:tcW w:type="pct" w:w="41%"/>
            <w:tcMar>
              <w:top w:type="dxa" w:w="90"/>
              <w:left w:type="dxa" w:w="120"/>
              <w:bottom w:type="dxa" w:w="90"/>
              <w:right w:type="dxa" w:w="120"/>
            </w:tcMar>
          </w:tcPr>
          <w:p>
            <w:r>
              <w:rPr>
                <w:rFonts w:ascii="Calibri" w:cs="Calibri" w:eastAsia="Calibri" w:hAnsi="Calibri"/>
                <w:b/>
                <w:bCs/>
                <w:i w:val="false"/>
                <w:iCs w:val="false"/>
                <w:strike w:val="false"/>
                <w:color w:val="006600"/>
                <w:sz w:val="22"/>
                <w:szCs w:val="22"/>
              </w:rPr>
              <w:t xml:space="preserve">✓ JSON with full commit detail</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18</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Active Directory auth</w:t>
            </w:r>
          </w:p>
        </w:tc>
        <w:tc>
          <w:tcPr>
            <w:tcW w:type="pct" w:w="23%"/>
            <w:tcMar>
              <w:top w:type="dxa" w:w="90"/>
              <w:left w:type="dxa" w:w="120"/>
              <w:bottom w:type="dxa" w:w="90"/>
              <w:right w:type="dxa" w:w="120"/>
            </w:tcMar>
          </w:tcPr>
          <w:p>
            <w:r>
              <w:rPr>
                <w:rFonts w:ascii="Calibri" w:cs="Calibri" w:eastAsia="Calibri" w:hAnsi="Calibri"/>
                <w:b/>
                <w:bCs/>
                <w:i w:val="false"/>
                <w:iCs w:val="false"/>
                <w:strike w:val="false"/>
                <w:color w:val="006600"/>
                <w:sz w:val="22"/>
                <w:szCs w:val="22"/>
              </w:rPr>
              <w:t xml:space="preserve">✓ Windows Integrated Auth</w:t>
            </w:r>
          </w:p>
        </w:tc>
        <w:tc>
          <w:tcPr>
            <w:tcW w:type="pct" w:w="41%"/>
            <w:tcMar>
              <w:top w:type="dxa" w:w="90"/>
              <w:left w:type="dxa" w:w="120"/>
              <w:bottom w:type="dxa" w:w="90"/>
              <w:right w:type="dxa" w:w="120"/>
            </w:tcMar>
          </w:tcPr>
          <w:p>
            <w:r>
              <w:rPr>
                <w:rFonts w:ascii="Calibri" w:cs="Calibri" w:eastAsia="Calibri" w:hAnsi="Calibri"/>
                <w:b/>
                <w:bCs/>
                <w:i w:val="false"/>
                <w:iCs w:val="false"/>
                <w:strike w:val="false"/>
                <w:color w:val="006600"/>
                <w:sz w:val="22"/>
                <w:szCs w:val="22"/>
              </w:rPr>
              <w:t xml:space="preserve">✓ LDAP BindDN</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19</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Entra ID / OIDC auth</w:t>
            </w:r>
          </w:p>
        </w:tc>
        <w:tc>
          <w:tcPr>
            <w:tcW w:type="pct" w:w="23%"/>
            <w:tcMar>
              <w:top w:type="dxa" w:w="90"/>
              <w:left w:type="dxa" w:w="120"/>
              <w:bottom w:type="dxa" w:w="90"/>
              <w:right w:type="dxa" w:w="120"/>
            </w:tcMar>
          </w:tcPr>
          <w:p>
            <w:r>
              <w:rPr>
                <w:rFonts w:ascii="Calibri" w:cs="Calibri" w:eastAsia="Calibri" w:hAnsi="Calibri"/>
                <w:b/>
                <w:bCs/>
                <w:i w:val="false"/>
                <w:iCs w:val="false"/>
                <w:strike w:val="false"/>
                <w:color w:val="CC0000"/>
                <w:sz w:val="22"/>
                <w:szCs w:val="22"/>
              </w:rPr>
              <w:t xml:space="preserve">✗</w:t>
            </w:r>
          </w:p>
        </w:tc>
        <w:tc>
          <w:tcPr>
            <w:tcW w:type="pct" w:w="41%"/>
            <w:tcMar>
              <w:top w:type="dxa" w:w="90"/>
              <w:left w:type="dxa" w:w="120"/>
              <w:bottom w:type="dxa" w:w="90"/>
              <w:right w:type="dxa" w:w="120"/>
            </w:tcMar>
          </w:tcPr>
          <w:p>
            <w:r>
              <w:rPr>
                <w:rFonts w:ascii="Calibri" w:cs="Calibri" w:eastAsia="Calibri" w:hAnsi="Calibri"/>
                <w:b/>
                <w:bCs/>
                <w:i w:val="false"/>
                <w:iCs w:val="false"/>
                <w:strike w:val="false"/>
                <w:color w:val="006600"/>
                <w:sz w:val="22"/>
                <w:szCs w:val="22"/>
              </w:rPr>
              <w:t xml:space="preserve">✓ OAuth2 provider</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20</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API token auth (PAT)</w:t>
            </w:r>
          </w:p>
        </w:tc>
        <w:tc>
          <w:tcPr>
            <w:tcW w:type="pct" w:w="23%"/>
            <w:tcMar>
              <w:top w:type="dxa" w:w="90"/>
              <w:left w:type="dxa" w:w="120"/>
              <w:bottom w:type="dxa" w:w="90"/>
              <w:right w:type="dxa" w:w="120"/>
            </w:tcMar>
          </w:tcPr>
          <w:p>
            <w:r>
              <w:rPr>
                <w:rFonts w:ascii="Calibri" w:cs="Calibri" w:eastAsia="Calibri" w:hAnsi="Calibri"/>
                <w:b/>
                <w:bCs/>
                <w:i w:val="false"/>
                <w:iCs w:val="false"/>
                <w:strike w:val="false"/>
                <w:color w:val="CC0000"/>
                <w:sz w:val="22"/>
                <w:szCs w:val="22"/>
              </w:rPr>
              <w:t xml:space="preserve">✗</w:t>
            </w:r>
          </w:p>
        </w:tc>
        <w:tc>
          <w:tcPr>
            <w:tcW w:type="pct" w:w="41%"/>
            <w:tcMar>
              <w:top w:type="dxa" w:w="90"/>
              <w:left w:type="dxa" w:w="120"/>
              <w:bottom w:type="dxa" w:w="90"/>
              <w:right w:type="dxa" w:w="120"/>
            </w:tcMar>
          </w:tcPr>
          <w:p>
            <w:r>
              <w:rPr>
                <w:rFonts w:ascii="Calibri" w:cs="Calibri" w:eastAsia="Calibri" w:hAnsi="Calibri"/>
                <w:b/>
                <w:bCs/>
                <w:i w:val="false"/>
                <w:iCs w:val="false"/>
                <w:strike w:val="false"/>
                <w:color w:val="006600"/>
                <w:sz w:val="22"/>
                <w:szCs w:val="22"/>
              </w:rPr>
              <w:t xml:space="preserve">✓ Personal access tokens</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21</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OAuth2 application tokens</w:t>
            </w:r>
          </w:p>
        </w:tc>
        <w:tc>
          <w:tcPr>
            <w:tcW w:type="pct" w:w="23%"/>
            <w:tcMar>
              <w:top w:type="dxa" w:w="90"/>
              <w:left w:type="dxa" w:w="120"/>
              <w:bottom w:type="dxa" w:w="90"/>
              <w:right w:type="dxa" w:w="120"/>
            </w:tcMar>
          </w:tcPr>
          <w:p>
            <w:r>
              <w:rPr>
                <w:rFonts w:ascii="Calibri" w:cs="Calibri" w:eastAsia="Calibri" w:hAnsi="Calibri"/>
                <w:b/>
                <w:bCs/>
                <w:i w:val="false"/>
                <w:iCs w:val="false"/>
                <w:strike w:val="false"/>
                <w:color w:val="CC0000"/>
                <w:sz w:val="22"/>
                <w:szCs w:val="22"/>
              </w:rPr>
              <w:t xml:space="preserve">✗</w:t>
            </w:r>
          </w:p>
        </w:tc>
        <w:tc>
          <w:tcPr>
            <w:tcW w:type="pct" w:w="41%"/>
            <w:tcMar>
              <w:top w:type="dxa" w:w="90"/>
              <w:left w:type="dxa" w:w="120"/>
              <w:bottom w:type="dxa" w:w="90"/>
              <w:right w:type="dxa" w:w="120"/>
            </w:tcMar>
          </w:tcPr>
          <w:p>
            <w:r>
              <w:rPr>
                <w:rFonts w:ascii="Calibri" w:cs="Calibri" w:eastAsia="Calibri" w:hAnsi="Calibri"/>
                <w:b/>
                <w:bCs/>
                <w:i w:val="false"/>
                <w:iCs w:val="false"/>
                <w:strike w:val="false"/>
                <w:color w:val="006600"/>
                <w:sz w:val="22"/>
                <w:szCs w:val="22"/>
              </w:rPr>
              <w:t xml:space="preserve">✓ OAuth2 app grants</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22</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Web-based code browser</w:t>
            </w:r>
          </w:p>
        </w:tc>
        <w:tc>
          <w:tcPr>
            <w:tcW w:type="pct" w:w="23%"/>
            <w:tcMar>
              <w:top w:type="dxa" w:w="90"/>
              <w:left w:type="dxa" w:w="120"/>
              <w:bottom w:type="dxa" w:w="90"/>
              <w:right w:type="dxa" w:w="120"/>
            </w:tcMar>
          </w:tcPr>
          <w:p>
            <w:r>
              <w:rPr>
                <w:rFonts w:ascii="Calibri" w:cs="Calibri" w:eastAsia="Calibri" w:hAnsi="Calibri"/>
                <w:b/>
                <w:bCs/>
                <w:i w:val="false"/>
                <w:iCs w:val="false"/>
                <w:strike w:val="false"/>
                <w:color w:val="CC0000"/>
                <w:sz w:val="22"/>
                <w:szCs w:val="22"/>
              </w:rPr>
              <w:t xml:space="preserve">✗</w:t>
            </w:r>
          </w:p>
        </w:tc>
        <w:tc>
          <w:tcPr>
            <w:tcW w:type="pct" w:w="41%"/>
            <w:tcMar>
              <w:top w:type="dxa" w:w="90"/>
              <w:left w:type="dxa" w:w="120"/>
              <w:bottom w:type="dxa" w:w="90"/>
              <w:right w:type="dxa" w:w="120"/>
            </w:tcMar>
          </w:tcPr>
          <w:p>
            <w:r>
              <w:rPr>
                <w:rFonts w:ascii="Calibri" w:cs="Calibri" w:eastAsia="Calibri" w:hAnsi="Calibri"/>
                <w:b/>
                <w:bCs/>
                <w:i w:val="false"/>
                <w:iCs w:val="false"/>
                <w:strike w:val="false"/>
                <w:color w:val="006600"/>
                <w:sz w:val="22"/>
                <w:szCs w:val="22"/>
              </w:rPr>
              <w:t xml:space="preserve">✓ Full web UI</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23</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Issue tracking</w:t>
            </w:r>
          </w:p>
        </w:tc>
        <w:tc>
          <w:tcPr>
            <w:tcW w:type="pct" w:w="23%"/>
            <w:tcMar>
              <w:top w:type="dxa" w:w="90"/>
              <w:left w:type="dxa" w:w="120"/>
              <w:bottom w:type="dxa" w:w="90"/>
              <w:right w:type="dxa" w:w="120"/>
            </w:tcMar>
          </w:tcPr>
          <w:p>
            <w:r>
              <w:rPr>
                <w:rFonts w:ascii="Calibri" w:cs="Calibri" w:eastAsia="Calibri" w:hAnsi="Calibri"/>
                <w:b/>
                <w:bCs/>
                <w:i w:val="false"/>
                <w:iCs w:val="false"/>
                <w:strike w:val="false"/>
                <w:color w:val="CC0000"/>
                <w:sz w:val="22"/>
                <w:szCs w:val="22"/>
              </w:rPr>
              <w:t xml:space="preserve">✗</w:t>
            </w:r>
          </w:p>
        </w:tc>
        <w:tc>
          <w:tcPr>
            <w:tcW w:type="pct" w:w="41%"/>
            <w:tcMar>
              <w:top w:type="dxa" w:w="90"/>
              <w:left w:type="dxa" w:w="120"/>
              <w:bottom w:type="dxa" w:w="90"/>
              <w:right w:type="dxa" w:w="120"/>
            </w:tcMar>
          </w:tcPr>
          <w:p>
            <w:r>
              <w:rPr>
                <w:rFonts w:ascii="Calibri" w:cs="Calibri" w:eastAsia="Calibri" w:hAnsi="Calibri"/>
                <w:b/>
                <w:bCs/>
                <w:i w:val="false"/>
                <w:iCs w:val="false"/>
                <w:strike w:val="false"/>
                <w:color w:val="006600"/>
                <w:sz w:val="22"/>
                <w:szCs w:val="22"/>
              </w:rPr>
              <w:t xml:space="preserve">✓ Built-in issues</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24</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Pull request workflow</w:t>
            </w:r>
          </w:p>
        </w:tc>
        <w:tc>
          <w:tcPr>
            <w:tcW w:type="pct" w:w="23%"/>
            <w:tcMar>
              <w:top w:type="dxa" w:w="90"/>
              <w:left w:type="dxa" w:w="120"/>
              <w:bottom w:type="dxa" w:w="90"/>
              <w:right w:type="dxa" w:w="120"/>
            </w:tcMar>
          </w:tcPr>
          <w:p>
            <w:r>
              <w:rPr>
                <w:rFonts w:ascii="Calibri" w:cs="Calibri" w:eastAsia="Calibri" w:hAnsi="Calibri"/>
                <w:b/>
                <w:bCs/>
                <w:i w:val="false"/>
                <w:iCs w:val="false"/>
                <w:strike w:val="false"/>
                <w:color w:val="CC0000"/>
                <w:sz w:val="22"/>
                <w:szCs w:val="22"/>
              </w:rPr>
              <w:t xml:space="preserve">✗</w:t>
            </w:r>
          </w:p>
        </w:tc>
        <w:tc>
          <w:tcPr>
            <w:tcW w:type="pct" w:w="41%"/>
            <w:tcMar>
              <w:top w:type="dxa" w:w="90"/>
              <w:left w:type="dxa" w:w="120"/>
              <w:bottom w:type="dxa" w:w="90"/>
              <w:right w:type="dxa" w:w="120"/>
            </w:tcMar>
          </w:tcPr>
          <w:p>
            <w:r>
              <w:rPr>
                <w:rFonts w:ascii="Calibri" w:cs="Calibri" w:eastAsia="Calibri" w:hAnsi="Calibri"/>
                <w:b/>
                <w:bCs/>
                <w:i w:val="false"/>
                <w:iCs w:val="false"/>
                <w:strike w:val="false"/>
                <w:color w:val="006600"/>
                <w:sz w:val="22"/>
                <w:szCs w:val="22"/>
              </w:rPr>
              <w:t xml:space="preserve">✓ Built-in PRs with review</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25</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Release management</w:t>
            </w:r>
          </w:p>
        </w:tc>
        <w:tc>
          <w:tcPr>
            <w:tcW w:type="pct" w:w="23%"/>
            <w:tcMar>
              <w:top w:type="dxa" w:w="90"/>
              <w:left w:type="dxa" w:w="120"/>
              <w:bottom w:type="dxa" w:w="90"/>
              <w:right w:type="dxa" w:w="120"/>
            </w:tcMar>
          </w:tcPr>
          <w:p>
            <w:r>
              <w:rPr>
                <w:rFonts w:ascii="Calibri" w:cs="Calibri" w:eastAsia="Calibri" w:hAnsi="Calibri"/>
                <w:b/>
                <w:bCs/>
                <w:i w:val="false"/>
                <w:iCs w:val="false"/>
                <w:strike w:val="false"/>
                <w:color w:val="CC0000"/>
                <w:sz w:val="22"/>
                <w:szCs w:val="22"/>
              </w:rPr>
              <w:t xml:space="preserve">✗</w:t>
            </w:r>
          </w:p>
        </w:tc>
        <w:tc>
          <w:tcPr>
            <w:tcW w:type="pct" w:w="41%"/>
            <w:tcMar>
              <w:top w:type="dxa" w:w="90"/>
              <w:left w:type="dxa" w:w="120"/>
              <w:bottom w:type="dxa" w:w="90"/>
              <w:right w:type="dxa" w:w="120"/>
            </w:tcMar>
          </w:tcPr>
          <w:p>
            <w:r>
              <w:rPr>
                <w:rFonts w:ascii="Calibri" w:cs="Calibri" w:eastAsia="Calibri" w:hAnsi="Calibri"/>
                <w:b/>
                <w:bCs/>
                <w:i w:val="false"/>
                <w:iCs w:val="false"/>
                <w:strike w:val="false"/>
                <w:color w:val="006600"/>
                <w:sz w:val="22"/>
                <w:szCs w:val="22"/>
              </w:rPr>
              <w:t xml:space="preserve">✓ Tags → releases with assets</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26</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Swagger / OpenAPI docs</w:t>
            </w:r>
          </w:p>
        </w:tc>
        <w:tc>
          <w:tcPr>
            <w:tcW w:type="pct" w:w="23%"/>
            <w:tcMar>
              <w:top w:type="dxa" w:w="90"/>
              <w:left w:type="dxa" w:w="120"/>
              <w:bottom w:type="dxa" w:w="90"/>
              <w:right w:type="dxa" w:w="120"/>
            </w:tcMar>
          </w:tcPr>
          <w:p>
            <w:r>
              <w:rPr>
                <w:rFonts w:ascii="Calibri" w:cs="Calibri" w:eastAsia="Calibri" w:hAnsi="Calibri"/>
                <w:b/>
                <w:bCs/>
                <w:i w:val="false"/>
                <w:iCs w:val="false"/>
                <w:strike w:val="false"/>
                <w:color w:val="CC0000"/>
                <w:sz w:val="22"/>
                <w:szCs w:val="22"/>
              </w:rPr>
              <w:t xml:space="preserve">✗</w:t>
            </w:r>
          </w:p>
        </w:tc>
        <w:tc>
          <w:tcPr>
            <w:tcW w:type="pct" w:w="41%"/>
            <w:tcMar>
              <w:top w:type="dxa" w:w="90"/>
              <w:left w:type="dxa" w:w="120"/>
              <w:bottom w:type="dxa" w:w="90"/>
              <w:right w:type="dxa" w:w="120"/>
            </w:tcMar>
          </w:tcPr>
          <w:p>
            <w:r>
              <w:rPr>
                <w:rFonts w:ascii="Calibri" w:cs="Calibri" w:eastAsia="Calibri" w:hAnsi="Calibri"/>
                <w:b/>
                <w:bCs/>
                <w:i w:val="false"/>
                <w:iCs w:val="false"/>
                <w:strike w:val="false"/>
                <w:color w:val="006600"/>
                <w:sz w:val="22"/>
                <w:szCs w:val="22"/>
              </w:rPr>
              <w:t xml:space="preserve">✓ /api/swagger</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27</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Audit log (application level)</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IIS W3C logs only</w:t>
            </w:r>
          </w:p>
        </w:tc>
        <w:tc>
          <w:tcPr>
            <w:tcW w:type="pct" w:w="41%"/>
            <w:tcMar>
              <w:top w:type="dxa" w:w="90"/>
              <w:left w:type="dxa" w:w="120"/>
              <w:bottom w:type="dxa" w:w="90"/>
              <w:right w:type="dxa" w:w="120"/>
            </w:tcMar>
          </w:tcPr>
          <w:p>
            <w:r>
              <w:rPr>
                <w:rFonts w:ascii="Calibri" w:cs="Calibri" w:eastAsia="Calibri" w:hAnsi="Calibri"/>
                <w:b/>
                <w:bCs/>
                <w:i w:val="false"/>
                <w:iCs w:val="false"/>
                <w:strike w:val="false"/>
                <w:color w:val="006600"/>
                <w:sz w:val="22"/>
                <w:szCs w:val="22"/>
              </w:rPr>
              <w:t xml:space="preserve">✓ Gitea action log + IIS logs</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28</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TLS/HTTPS termination</w:t>
            </w:r>
          </w:p>
        </w:tc>
        <w:tc>
          <w:tcPr>
            <w:tcW w:type="pct" w:w="23%"/>
            <w:tcMar>
              <w:top w:type="dxa" w:w="90"/>
              <w:left w:type="dxa" w:w="120"/>
              <w:bottom w:type="dxa" w:w="90"/>
              <w:right w:type="dxa" w:w="120"/>
            </w:tcMar>
          </w:tcPr>
          <w:p>
            <w:r>
              <w:rPr>
                <w:rFonts w:ascii="Calibri" w:cs="Calibri" w:eastAsia="Calibri" w:hAnsi="Calibri"/>
                <w:b/>
                <w:bCs/>
                <w:i w:val="false"/>
                <w:iCs w:val="false"/>
                <w:strike w:val="false"/>
                <w:color w:val="006600"/>
                <w:sz w:val="22"/>
                <w:szCs w:val="22"/>
              </w:rPr>
              <w:t xml:space="preserve">✓ IIS native</w:t>
            </w:r>
          </w:p>
        </w:tc>
        <w:tc>
          <w:tcPr>
            <w:tcW w:type="pct" w:w="41%"/>
            <w:tcMar>
              <w:top w:type="dxa" w:w="90"/>
              <w:left w:type="dxa" w:w="120"/>
              <w:bottom w:type="dxa" w:w="90"/>
              <w:right w:type="dxa" w:w="120"/>
            </w:tcMar>
          </w:tcPr>
          <w:p>
            <w:r>
              <w:rPr>
                <w:rFonts w:ascii="Calibri" w:cs="Calibri" w:eastAsia="Calibri" w:hAnsi="Calibri"/>
                <w:b/>
                <w:bCs/>
                <w:i w:val="false"/>
                <w:iCs w:val="false"/>
                <w:strike w:val="false"/>
                <w:color w:val="006600"/>
                <w:sz w:val="22"/>
                <w:szCs w:val="22"/>
              </w:rPr>
              <w:t xml:space="preserve">✓ IIS native (reverse proxy)</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29</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Request filtering</w:t>
            </w:r>
          </w:p>
        </w:tc>
        <w:tc>
          <w:tcPr>
            <w:tcW w:type="pct" w:w="23%"/>
            <w:tcMar>
              <w:top w:type="dxa" w:w="90"/>
              <w:left w:type="dxa" w:w="120"/>
              <w:bottom w:type="dxa" w:w="90"/>
              <w:right w:type="dxa" w:w="120"/>
            </w:tcMar>
          </w:tcPr>
          <w:p>
            <w:r>
              <w:rPr>
                <w:rFonts w:ascii="Calibri" w:cs="Calibri" w:eastAsia="Calibri" w:hAnsi="Calibri"/>
                <w:b/>
                <w:bCs/>
                <w:i w:val="false"/>
                <w:iCs w:val="false"/>
                <w:strike w:val="false"/>
                <w:color w:val="006600"/>
                <w:sz w:val="22"/>
                <w:szCs w:val="22"/>
              </w:rPr>
              <w:t xml:space="preserve">✓ IIS native</w:t>
            </w:r>
          </w:p>
        </w:tc>
        <w:tc>
          <w:tcPr>
            <w:tcW w:type="pct" w:w="41%"/>
            <w:tcMar>
              <w:top w:type="dxa" w:w="90"/>
              <w:left w:type="dxa" w:w="120"/>
              <w:bottom w:type="dxa" w:w="90"/>
              <w:right w:type="dxa" w:w="120"/>
            </w:tcMar>
          </w:tcPr>
          <w:p>
            <w:r>
              <w:rPr>
                <w:rFonts w:ascii="Calibri" w:cs="Calibri" w:eastAsia="Calibri" w:hAnsi="Calibri"/>
                <w:b/>
                <w:bCs/>
                <w:i w:val="false"/>
                <w:iCs w:val="false"/>
                <w:strike w:val="false"/>
                <w:color w:val="006600"/>
                <w:sz w:val="22"/>
                <w:szCs w:val="22"/>
              </w:rPr>
              <w:t xml:space="preserve">✓ IIS native (defense-in-depth)</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30</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Container registry</w:t>
            </w:r>
          </w:p>
        </w:tc>
        <w:tc>
          <w:tcPr>
            <w:tcW w:type="pct" w:w="23%"/>
            <w:tcMar>
              <w:top w:type="dxa" w:w="90"/>
              <w:left w:type="dxa" w:w="120"/>
              <w:bottom w:type="dxa" w:w="90"/>
              <w:right w:type="dxa" w:w="120"/>
            </w:tcMar>
          </w:tcPr>
          <w:p>
            <w:r>
              <w:rPr>
                <w:rFonts w:ascii="Calibri" w:cs="Calibri" w:eastAsia="Calibri" w:hAnsi="Calibri"/>
                <w:b/>
                <w:bCs/>
                <w:i w:val="false"/>
                <w:iCs w:val="false"/>
                <w:strike w:val="false"/>
                <w:color w:val="CC0000"/>
                <w:sz w:val="22"/>
                <w:szCs w:val="22"/>
              </w:rPr>
              <w:t xml:space="preserve">✗</w:t>
            </w:r>
          </w:p>
        </w:tc>
        <w:tc>
          <w:tcPr>
            <w:tcW w:type="pct" w:w="41%"/>
            <w:tcMar>
              <w:top w:type="dxa" w:w="90"/>
              <w:left w:type="dxa" w:w="120"/>
              <w:bottom w:type="dxa" w:w="90"/>
              <w:right w:type="dxa" w:w="120"/>
            </w:tcMar>
          </w:tcPr>
          <w:p>
            <w:r>
              <w:rPr>
                <w:rFonts w:ascii="Calibri" w:cs="Calibri" w:eastAsia="Calibri" w:hAnsi="Calibri"/>
                <w:b/>
                <w:bCs/>
                <w:i w:val="false"/>
                <w:iCs w:val="false"/>
                <w:strike w:val="false"/>
                <w:color w:val="006600"/>
                <w:sz w:val="22"/>
                <w:szCs w:val="22"/>
              </w:rPr>
              <w:t xml:space="preserve">✓ Built-in OCI registry</w:t>
            </w:r>
          </w:p>
        </w:tc>
      </w:tr>
    </w:tbl>
    <w:p>
      <w:pPr>
        <w:spacing w:after="200" w:before="0"/>
      </w:pPr>
    </w:p>
    <w:p>
      <w:pPr>
        <w:spacing w:after="120" w:before="60" w:line="360" w:lineRule="auto"/>
      </w:pPr>
      <w:r>
        <w:rPr>
          <w:rFonts w:ascii="Calibri" w:cs="Calibri" w:eastAsia="Calibri" w:hAnsi="Calibri"/>
          <w:b/>
          <w:bCs/>
          <w:i w:val="false"/>
          <w:iCs w:val="false"/>
          <w:strike w:val="false"/>
          <w:color w:val="000000"/>
          <w:sz w:val="22"/>
          <w:szCs w:val="22"/>
        </w:rPr>
        <w:t xml:space="preserve">Score: IIS-only satisfies 7 of 30 capabilities. Gitea+IIS satisfies 30 of 30.</w:t>
      </w:r>
    </w:p>
    <w:p>
      <w:pPr>
        <w:pStyle w:val="Heading1"/>
        <w:spacing w:after="120" w:before="480" w:line="312" w:lineRule="auto"/>
      </w:pPr>
      <w:r>
        <w:rPr>
          <w:rFonts w:ascii="Calibri" w:cs="Calibri" w:eastAsia="Calibri" w:hAnsi="Calibri"/>
          <w:color w:val="1A1A1A"/>
          <w:sz w:val="48"/>
          <w:szCs w:val="48"/>
        </w:rPr>
        <w:t xml:space="preserve">Appendix B: Gitea System Requirements for Windows Server 2025</w:t>
      </w:r>
    </w:p>
    <w:p>
      <w:pPr>
        <w:pStyle w:val="Heading2"/>
        <w:spacing w:after="120" w:before="360" w:line="312" w:lineRule="auto"/>
      </w:pPr>
      <w:r>
        <w:rPr>
          <w:rFonts w:ascii="Calibri" w:cs="Calibri" w:eastAsia="Calibri" w:hAnsi="Calibri"/>
          <w:color w:val="1A1A1A"/>
          <w:sz w:val="36"/>
          <w:szCs w:val="36"/>
        </w:rPr>
        <w:t xml:space="preserve">B.1 Hardware Requirements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Resource</w:t>
            </w:r>
          </w:p>
        </w:tc>
        <w:tc>
          <w:tcPr>
            <w:tcW w:type="pct" w:w="3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Minimum (UIAO Scale)</w:t>
            </w:r>
          </w:p>
        </w:tc>
        <w:tc>
          <w:tcPr>
            <w:tcW w:type="pct" w:w="5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Recommended</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CPU</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 cores (x64)</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4 cores — headroom for concurrent Git operations and API requests</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RAM</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 GB total (Gitea uses ~200 MB at idle)</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4 GB total — allows IIS, Gitea, and PowerShell automation to run concurrently</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Disk</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10 GB (OS + Gitea binary + SQLite + small repo)</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50 GB SSD — room for repository growth, logs, and Quarto output</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Network</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 Gbps NIC</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 Gbps — Git operations are I/O-bound, not network-bound at this scale</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B.2 Software Prerequisites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Component</w:t>
            </w:r>
          </w:p>
        </w:tc>
        <w:tc>
          <w:tcPr>
            <w:tcW w:type="pct" w:w="1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Version</w:t>
            </w:r>
          </w:p>
        </w:tc>
        <w:tc>
          <w:tcPr>
            <w:tcW w:type="pct" w:w="6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Notes</w:t>
            </w:r>
          </w:p>
        </w:tc>
      </w:tr>
      <w:tr>
        <w:trPr>
          <w:tblHeader w:val="false"/>
        </w:trPr>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Windows Server</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2025</w:t>
            </w:r>
          </w:p>
        </w:tc>
        <w:tc>
          <w:tcPr>
            <w:tcW w:type="pct" w:w="6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Standard or Datacenter edition. Server Core supported.</w:t>
            </w:r>
          </w:p>
        </w:tc>
      </w:tr>
      <w:tr>
        <w:trPr>
          <w:tblHeader w:val="false"/>
        </w:trPr>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IIS</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10.0+</w:t>
            </w:r>
          </w:p>
        </w:tc>
        <w:tc>
          <w:tcPr>
            <w:tcW w:type="pct" w:w="6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With URL Rewrite 2.1+ and Application Request Routing 3.0+ modules installed.</w:t>
            </w:r>
          </w:p>
        </w:tc>
      </w:tr>
      <w:tr>
        <w:trPr>
          <w:tblHeader w:val="false"/>
        </w:trPr>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Git for Windows</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2.44+</w:t>
            </w:r>
          </w:p>
        </w:tc>
        <w:tc>
          <w:tcPr>
            <w:tcW w:type="pct" w:w="6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Must be in system PATH. Required by Gitea for Git operations.</w:t>
            </w:r>
          </w:p>
        </w:tc>
      </w:tr>
      <w:tr>
        <w:trPr>
          <w:tblHeader w:val="false"/>
        </w:trPr>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Gitea</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1.22+ (latest stable)</w:t>
            </w:r>
          </w:p>
        </w:tc>
        <w:tc>
          <w:tcPr>
            <w:tcW w:type="pct" w:w="6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Single binary: </w:t>
            </w:r>
            <w:r>
              <w:rPr>
                <w:rFonts w:ascii="Courier New" w:cs="Courier New" w:eastAsia="Courier New" w:hAnsi="Courier New"/>
                <w:b w:val="false"/>
                <w:bCs w:val="false"/>
                <w:i w:val="false"/>
                <w:iCs w:val="false"/>
                <w:color w:val="000000"/>
                <w:sz w:val="20"/>
                <w:szCs w:val="20"/>
                <w:shd w:fill="F3F4F6" w:color="auto" w:val="clear"/>
              </w:rPr>
              <w:t xml:space="preserve">gitea.exe</w:t>
            </w:r>
            <w:r>
              <w:rPr>
                <w:rFonts w:ascii="Calibri" w:cs="Calibri" w:eastAsia="Calibri" w:hAnsi="Calibri"/>
                <w:b w:val="false"/>
                <w:bCs w:val="false"/>
                <w:i w:val="false"/>
                <w:iCs w:val="false"/>
                <w:strike w:val="false"/>
                <w:color w:val="000000"/>
                <w:sz w:val="22"/>
                <w:szCs w:val="22"/>
              </w:rPr>
              <w:t xml:space="preserve">. Downloaded from official GitHub Releases.</w:t>
            </w:r>
          </w:p>
        </w:tc>
      </w:tr>
      <w:tr>
        <w:trPr>
          <w:tblHeader w:val="false"/>
        </w:trPr>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NSSM</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2.24+</w:t>
            </w:r>
          </w:p>
        </w:tc>
        <w:tc>
          <w:tcPr>
            <w:tcW w:type="pct" w:w="6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Non-Sucking Service Manager — registers Gitea as a Windows service. Alternative: </w:t>
            </w:r>
            <w:r>
              <w:rPr>
                <w:rFonts w:ascii="Courier New" w:cs="Courier New" w:eastAsia="Courier New" w:hAnsi="Courier New"/>
                <w:b w:val="false"/>
                <w:bCs w:val="false"/>
                <w:i w:val="false"/>
                <w:iCs w:val="false"/>
                <w:color w:val="000000"/>
                <w:sz w:val="20"/>
                <w:szCs w:val="20"/>
                <w:shd w:fill="F3F4F6" w:color="auto" w:val="clear"/>
              </w:rPr>
              <w:t xml:space="preserve">sc.exe create</w:t>
            </w:r>
            <w:r>
              <w:rPr>
                <w:rFonts w:ascii="Calibri" w:cs="Calibri" w:eastAsia="Calibri" w:hAnsi="Calibri"/>
                <w:b w:val="false"/>
                <w:bCs w:val="false"/>
                <w:i w:val="false"/>
                <w:iCs w:val="false"/>
                <w:strike w:val="false"/>
                <w:color w:val="000000"/>
                <w:sz w:val="22"/>
                <w:szCs w:val="22"/>
              </w:rPr>
              <w:t xml:space="preserve"> with manual configuration.</w:t>
            </w:r>
          </w:p>
        </w:tc>
      </w:tr>
      <w:tr>
        <w:trPr>
          <w:tblHeader w:val="false"/>
        </w:trPr>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Database</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SQLite 3 (embedded)</w:t>
            </w:r>
          </w:p>
        </w:tc>
        <w:tc>
          <w:tcPr>
            <w:tcW w:type="pct" w:w="6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 external database required. SQLite is compiled into the Gitea binary. For larger deployments, PostgreSQL is recommended.</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B.3 Firewall Rules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1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Rule</w:t>
            </w:r>
          </w:p>
        </w:tc>
        <w:tc>
          <w:tcPr>
            <w:tcW w:type="pct" w:w="1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Direction</w:t>
            </w:r>
          </w:p>
        </w:tc>
        <w:tc>
          <w:tcPr>
            <w:tcW w:type="pct" w:w="1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Port</w:t>
            </w:r>
          </w:p>
        </w:tc>
        <w:tc>
          <w:tcPr>
            <w:tcW w:type="pct" w:w="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Protocol</w:t>
            </w:r>
          </w:p>
        </w:tc>
        <w:tc>
          <w:tcPr>
            <w:tcW w:type="pct" w:w="2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Source</w:t>
            </w:r>
          </w:p>
        </w:tc>
        <w:tc>
          <w:tcPr>
            <w:tcW w:type="pct" w:w="3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Notes</w:t>
            </w:r>
          </w:p>
        </w:tc>
      </w:tr>
      <w:tr>
        <w:trPr>
          <w:tblHeader w:val="false"/>
        </w:trPr>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HTTPS (IIS)</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Inbound</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443</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TCP</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Authorized networks</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Primary access port for all Git, API, and web traffic</w:t>
            </w:r>
          </w:p>
        </w:tc>
      </w:tr>
      <w:tr>
        <w:trPr>
          <w:tblHeader w:val="false"/>
        </w:trPr>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HTTP redirect</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Inbound</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80</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TCP</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Any</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301 redirect to HTTPS only — no content served</w:t>
            </w:r>
          </w:p>
        </w:tc>
      </w:tr>
      <w:tr>
        <w:trPr>
          <w:tblHeader w:val="false"/>
        </w:trPr>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SSH (optional)</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Inbound</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22 or 2222</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TCP</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Authorized networks</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Only if Git-over-SSH is required. Can be disabled.</w:t>
            </w:r>
          </w:p>
        </w:tc>
      </w:tr>
      <w:tr>
        <w:trPr>
          <w:tblHeader w:val="false"/>
        </w:trPr>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LDAP to AD</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Outbound</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389 or 636</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TCP</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Domain controller(s)</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Port 636 for LDAPS (recommended). Port 389 for LDAP (less secure).</w:t>
            </w:r>
          </w:p>
        </w:tc>
      </w:tr>
      <w:tr>
        <w:trPr>
          <w:tblHeader w:val="false"/>
        </w:trPr>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HTTPS to Entra ID</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Outbound</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443</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TCP</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login.microsoftonline.com, graph.microsoft.com</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OAuth2/OIDC token exchange and Graph API calls</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B.4 Service Account Requirements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Account</w:t>
            </w:r>
          </w:p>
        </w:tc>
        <w:tc>
          <w:tcPr>
            <w:tcW w:type="pct" w:w="1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Type</w:t>
            </w:r>
          </w:p>
        </w:tc>
        <w:tc>
          <w:tcPr>
            <w:tcW w:type="pct" w:w="6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Permissions</w:t>
            </w:r>
          </w:p>
        </w:tc>
      </w:tr>
      <w:tr>
        <w:trPr>
          <w:tblHeader w:val="false"/>
        </w:trPr>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Gitea service account</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Local or domain account</w:t>
            </w:r>
          </w:p>
        </w:tc>
        <w:tc>
          <w:tcPr>
            <w:tcW w:type="pct" w:w="6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Read/Write to </w:t>
            </w:r>
            <w:r>
              <w:rPr>
                <w:rFonts w:ascii="Courier New" w:cs="Courier New" w:eastAsia="Courier New" w:hAnsi="Courier New"/>
                <w:b w:val="false"/>
                <w:bCs w:val="false"/>
                <w:i w:val="false"/>
                <w:iCs w:val="false"/>
                <w:color w:val="000000"/>
                <w:sz w:val="20"/>
                <w:szCs w:val="20"/>
                <w:shd w:fill="F3F4F6" w:color="auto" w:val="clear"/>
              </w:rPr>
              <w:t xml:space="preserve">C:\gitea-data\</w:t>
            </w:r>
            <w:r>
              <w:rPr>
                <w:rFonts w:ascii="Calibri" w:cs="Calibri" w:eastAsia="Calibri" w:hAnsi="Calibri"/>
                <w:b w:val="false"/>
                <w:bCs w:val="false"/>
                <w:i w:val="false"/>
                <w:iCs w:val="false"/>
                <w:strike w:val="false"/>
                <w:color w:val="000000"/>
                <w:sz w:val="22"/>
                <w:szCs w:val="22"/>
              </w:rPr>
              <w:t xml:space="preserve"> and </w:t>
            </w:r>
            <w:r>
              <w:rPr>
                <w:rFonts w:ascii="Courier New" w:cs="Courier New" w:eastAsia="Courier New" w:hAnsi="Courier New"/>
                <w:b w:val="false"/>
                <w:bCs w:val="false"/>
                <w:i w:val="false"/>
                <w:iCs w:val="false"/>
                <w:color w:val="000000"/>
                <w:sz w:val="20"/>
                <w:szCs w:val="20"/>
                <w:shd w:fill="F3F4F6" w:color="auto" w:val="clear"/>
              </w:rPr>
              <w:t xml:space="preserve">D:\GitRepos\</w:t>
            </w:r>
            <w:r>
              <w:rPr>
                <w:rFonts w:ascii="Calibri" w:cs="Calibri" w:eastAsia="Calibri" w:hAnsi="Calibri"/>
                <w:b w:val="false"/>
                <w:bCs w:val="false"/>
                <w:i w:val="false"/>
                <w:iCs w:val="false"/>
                <w:strike w:val="false"/>
                <w:color w:val="000000"/>
                <w:sz w:val="22"/>
                <w:szCs w:val="22"/>
              </w:rPr>
              <w:t xml:space="preserve">. Log on as a service. No local admin rights required.</w:t>
            </w:r>
          </w:p>
        </w:tc>
      </w:tr>
      <w:tr>
        <w:trPr>
          <w:tblHeader w:val="false"/>
        </w:trPr>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LDAP bind account</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Domain account (read-only)</w:t>
            </w:r>
          </w:p>
        </w:tc>
        <w:tc>
          <w:tcPr>
            <w:tcW w:type="pct" w:w="6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Read access to user objects in the target OU. Read attributes: </w:t>
            </w:r>
            <w:r>
              <w:rPr>
                <w:rFonts w:ascii="Courier New" w:cs="Courier New" w:eastAsia="Courier New" w:hAnsi="Courier New"/>
                <w:b w:val="false"/>
                <w:bCs w:val="false"/>
                <w:i w:val="false"/>
                <w:iCs w:val="false"/>
                <w:color w:val="000000"/>
                <w:sz w:val="20"/>
                <w:szCs w:val="20"/>
                <w:shd w:fill="F3F4F6" w:color="auto" w:val="clear"/>
              </w:rPr>
              <w:t xml:space="preserve">sAMAccountName</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mail</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displayName</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memberOf</w:t>
            </w:r>
            <w:r>
              <w:rPr>
                <w:rFonts w:ascii="Calibri" w:cs="Calibri" w:eastAsia="Calibri" w:hAnsi="Calibri"/>
                <w:b w:val="false"/>
                <w:bCs w:val="false"/>
                <w:i w:val="false"/>
                <w:iCs w:val="false"/>
                <w:strike w:val="false"/>
                <w:color w:val="000000"/>
                <w:sz w:val="22"/>
                <w:szCs w:val="22"/>
              </w:rPr>
              <w:t xml:space="preserve">. No write permissions. No password reset capability.</w:t>
            </w:r>
          </w:p>
        </w:tc>
      </w:tr>
      <w:tr>
        <w:trPr>
          <w:tblHeader w:val="false"/>
        </w:trPr>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IIS Application Pool identity</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Built-in or domain</w:t>
            </w:r>
          </w:p>
        </w:tc>
        <w:tc>
          <w:tcPr>
            <w:tcW w:type="pct" w:w="6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Default </w:t>
            </w:r>
            <w:r>
              <w:rPr>
                <w:rFonts w:ascii="Courier New" w:cs="Courier New" w:eastAsia="Courier New" w:hAnsi="Courier New"/>
                <w:b w:val="false"/>
                <w:bCs w:val="false"/>
                <w:i w:val="false"/>
                <w:iCs w:val="false"/>
                <w:color w:val="000000"/>
                <w:sz w:val="20"/>
                <w:szCs w:val="20"/>
                <w:shd w:fill="F3F4F6" w:color="auto" w:val="clear"/>
              </w:rPr>
              <w:t xml:space="preserve">ApplicationPoolIdentity</w:t>
            </w:r>
            <w:r>
              <w:rPr>
                <w:rFonts w:ascii="Calibri" w:cs="Calibri" w:eastAsia="Calibri" w:hAnsi="Calibri"/>
                <w:b w:val="false"/>
                <w:bCs w:val="false"/>
                <w:i w:val="false"/>
                <w:iCs w:val="false"/>
                <w:strike w:val="false"/>
                <w:color w:val="000000"/>
                <w:sz w:val="22"/>
                <w:szCs w:val="22"/>
              </w:rPr>
              <w:t xml:space="preserve"> is sufficient for reverse proxy. No file system access to Git repos required — IIS only forwards HTTP traffic.</w:t>
            </w:r>
          </w:p>
        </w:tc>
      </w:tr>
    </w:tbl>
    <w:p>
      <w:pPr>
        <w:spacing w:after="200" w:before="0"/>
      </w:pPr>
    </w:p>
    <w:p>
      <w:pPr>
        <w:pStyle w:val="Heading1"/>
        <w:spacing w:after="120" w:before="480" w:line="312" w:lineRule="auto"/>
      </w:pPr>
      <w:r>
        <w:rPr>
          <w:rFonts w:ascii="Calibri" w:cs="Calibri" w:eastAsia="Calibri" w:hAnsi="Calibri"/>
          <w:color w:val="1A1A1A"/>
          <w:sz w:val="48"/>
          <w:szCs w:val="48"/>
        </w:rPr>
        <w:t xml:space="preserve">Appendix C: UIAO Canon Compliance Assessment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appendix maps the Gitea + IIS architecture to UIAO Canon governance rules, confirming that the recommended platform satisfies each governance principle.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Canon Rule</w:t>
            </w:r>
          </w:p>
        </w:tc>
        <w:tc>
          <w:tcPr>
            <w:tcW w:type="pct" w:w="2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Requirement</w:t>
            </w:r>
          </w:p>
        </w:tc>
        <w:tc>
          <w:tcPr>
            <w:tcW w:type="pct" w:w="6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Gitea+IIS Compliance</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Canon Supremacy</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canonical repository is the single source of truth. No configuration may contradict what is committed to the canon.</w:t>
            </w:r>
          </w:p>
        </w:tc>
        <w:tc>
          <w:tcPr>
            <w:tcW w:type="pct" w:w="61%"/>
            <w:tcMar>
              <w:top w:type="dxa" w:w="90"/>
              <w:left w:type="dxa" w:w="120"/>
              <w:bottom w:type="dxa" w:w="90"/>
              <w:right w:type="dxa" w:w="120"/>
            </w:tcMar>
          </w:tcPr>
          <w:p>
            <w:r>
              <w:rPr>
                <w:rFonts w:ascii="Calibri" w:cs="Calibri" w:eastAsia="Calibri" w:hAnsi="Calibri"/>
                <w:b/>
                <w:bCs/>
                <w:i w:val="false"/>
                <w:iCs w:val="false"/>
                <w:strike w:val="false"/>
                <w:color w:val="006600"/>
                <w:sz w:val="22"/>
                <w:szCs w:val="22"/>
              </w:rPr>
              <w:t xml:space="preserve">✓ Compliant. Gitea hosts the bare repository with full commit history integrity. All branches and tags are preserved. The REST API enables programmatic verification that deployed configurations match committed state — the API is the </w:t>
            </w:r>
            <w:r>
              <w:rPr>
                <w:rFonts w:ascii="Calibri" w:cs="Calibri" w:eastAsia="Calibri" w:hAnsi="Calibri"/>
                <w:b/>
                <w:bCs/>
                <w:i/>
                <w:iCs/>
                <w:strike w:val="false"/>
                <w:color w:val="000000"/>
                <w:sz w:val="22"/>
                <w:szCs w:val="22"/>
              </w:rPr>
              <w:t xml:space="preserve">enforcement mechanism</w:t>
            </w:r>
            <w:r>
              <w:rPr>
                <w:rFonts w:ascii="Calibri" w:cs="Calibri" w:eastAsia="Calibri" w:hAnsi="Calibri"/>
                <w:b/>
                <w:bCs/>
                <w:i w:val="false"/>
                <w:iCs w:val="false"/>
                <w:strike w:val="false"/>
                <w:color w:val="006600"/>
                <w:sz w:val="22"/>
                <w:szCs w:val="22"/>
              </w:rPr>
              <w:t xml:space="preserve"> for Canon Supremacy.</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Metadata Schema Compliance</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All artifacts must conform to the defined metadata schema (YAML frontmatter, file naming conventions, directory structure).</w:t>
            </w:r>
          </w:p>
        </w:tc>
        <w:tc>
          <w:tcPr>
            <w:tcW w:type="pct" w:w="61%"/>
            <w:tcMar>
              <w:top w:type="dxa" w:w="90"/>
              <w:left w:type="dxa" w:w="120"/>
              <w:bottom w:type="dxa" w:w="90"/>
              <w:right w:type="dxa" w:w="120"/>
            </w:tcMar>
          </w:tcPr>
          <w:p>
            <w:r>
              <w:rPr>
                <w:rFonts w:ascii="Calibri" w:cs="Calibri" w:eastAsia="Calibri" w:hAnsi="Calibri"/>
                <w:b/>
                <w:bCs/>
                <w:i w:val="false"/>
                <w:iCs w:val="false"/>
                <w:strike w:val="false"/>
                <w:color w:val="006600"/>
                <w:sz w:val="22"/>
                <w:szCs w:val="22"/>
              </w:rPr>
              <w:t xml:space="preserve">✓ Compliant. Gitea's file contents API (</w:t>
            </w:r>
            <w:r>
              <w:rPr>
                <w:rFonts w:ascii="Courier New" w:cs="Courier New" w:eastAsia="Courier New" w:hAnsi="Courier New"/>
                <w:b/>
                <w:bCs/>
                <w:i w:val="false"/>
                <w:iCs w:val="false"/>
                <w:color w:val="000000"/>
                <w:sz w:val="20"/>
                <w:szCs w:val="20"/>
                <w:shd w:fill="F3F4F6" w:color="auto" w:val="clear"/>
              </w:rPr>
              <w:t xml:space="preserve">/api/v1/repos/:owner/:repo/contents/:path</w:t>
            </w:r>
            <w:r>
              <w:rPr>
                <w:rFonts w:ascii="Calibri" w:cs="Calibri" w:eastAsia="Calibri" w:hAnsi="Calibri"/>
                <w:b/>
                <w:bCs/>
                <w:i w:val="false"/>
                <w:iCs w:val="false"/>
                <w:strike w:val="false"/>
                <w:color w:val="006600"/>
                <w:sz w:val="22"/>
                <w:szCs w:val="22"/>
              </w:rPr>
              <w:t xml:space="preserve">) enables automated schema validation. A webhook-triggered PowerShell script can read pushed files via API, parse YAML frontmatter, and reject non-compliant commits by posting status checks or creating issues.</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Artifact Classification</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Every file in the repository must be classified according to the UIAO artifact taxonomy (policy, script, template, documentation).</w:t>
            </w:r>
          </w:p>
        </w:tc>
        <w:tc>
          <w:tcPr>
            <w:tcW w:type="pct" w:w="61%"/>
            <w:tcMar>
              <w:top w:type="dxa" w:w="90"/>
              <w:left w:type="dxa" w:w="120"/>
              <w:bottom w:type="dxa" w:w="90"/>
              <w:right w:type="dxa" w:w="120"/>
            </w:tcMar>
          </w:tcPr>
          <w:p>
            <w:r>
              <w:rPr>
                <w:rFonts w:ascii="Calibri" w:cs="Calibri" w:eastAsia="Calibri" w:hAnsi="Calibri"/>
                <w:b/>
                <w:bCs/>
                <w:i w:val="false"/>
                <w:iCs w:val="false"/>
                <w:strike w:val="false"/>
                <w:color w:val="006600"/>
                <w:sz w:val="22"/>
                <w:szCs w:val="22"/>
              </w:rPr>
              <w:t xml:space="preserve">✓ Compliant. Gitea's tree API (</w:t>
            </w:r>
            <w:r>
              <w:rPr>
                <w:rFonts w:ascii="Courier New" w:cs="Courier New" w:eastAsia="Courier New" w:hAnsi="Courier New"/>
                <w:b/>
                <w:bCs/>
                <w:i w:val="false"/>
                <w:iCs w:val="false"/>
                <w:color w:val="000000"/>
                <w:sz w:val="20"/>
                <w:szCs w:val="20"/>
                <w:shd w:fill="F3F4F6" w:color="auto" w:val="clear"/>
              </w:rPr>
              <w:t xml:space="preserve">/api/v1/repos/:owner/:repo/git/trees/:sha</w:t>
            </w:r>
            <w:r>
              <w:rPr>
                <w:rFonts w:ascii="Calibri" w:cs="Calibri" w:eastAsia="Calibri" w:hAnsi="Calibri"/>
                <w:b/>
                <w:bCs/>
                <w:i w:val="false"/>
                <w:iCs w:val="false"/>
                <w:strike w:val="false"/>
                <w:color w:val="006600"/>
                <w:sz w:val="22"/>
                <w:szCs w:val="22"/>
              </w:rPr>
              <w:t xml:space="preserve">) provides recursive directory listings. Classification enforcement can be automated: on each push, enumerate all files, verify each has a valid classification marker, and flag violations via the issue tracker API.</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Change Auditability</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Every change to the canon must be attributable to an authenticated identity with a timestamp and commit message.</w:t>
            </w:r>
          </w:p>
        </w:tc>
        <w:tc>
          <w:tcPr>
            <w:tcW w:type="pct" w:w="61%"/>
            <w:tcMar>
              <w:top w:type="dxa" w:w="90"/>
              <w:left w:type="dxa" w:w="120"/>
              <w:bottom w:type="dxa" w:w="90"/>
              <w:right w:type="dxa" w:w="120"/>
            </w:tcMar>
          </w:tcPr>
          <w:p>
            <w:r>
              <w:rPr>
                <w:rFonts w:ascii="Calibri" w:cs="Calibri" w:eastAsia="Calibri" w:hAnsi="Calibri"/>
                <w:b/>
                <w:bCs/>
                <w:i w:val="false"/>
                <w:iCs w:val="false"/>
                <w:strike w:val="false"/>
                <w:color w:val="006600"/>
                <w:sz w:val="22"/>
                <w:szCs w:val="22"/>
              </w:rPr>
              <w:t xml:space="preserve">✓ Compliant. Git's commit model inherently provides author, timestamp, and message for every change. Gitea adds: (a) authenticated push logging — who pushed, from what IP, at what time; (b) API access logging; (c) webhook delivery records. LDAP/AD authentication ensures the authenticated identity maps to a real domain user.</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Governance Automation</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Pushed changes must trigger downstream governance actions (Intune policy deployment, Azure Arc configuration, documentation regeneration) without manual intervention.</w:t>
            </w:r>
          </w:p>
        </w:tc>
        <w:tc>
          <w:tcPr>
            <w:tcW w:type="pct" w:w="61%"/>
            <w:tcMar>
              <w:top w:type="dxa" w:w="90"/>
              <w:left w:type="dxa" w:w="120"/>
              <w:bottom w:type="dxa" w:w="90"/>
              <w:right w:type="dxa" w:w="120"/>
            </w:tcMar>
          </w:tcPr>
          <w:p>
            <w:r>
              <w:rPr>
                <w:rFonts w:ascii="Calibri" w:cs="Calibri" w:eastAsia="Calibri" w:hAnsi="Calibri"/>
                <w:b/>
                <w:bCs/>
                <w:i w:val="false"/>
                <w:iCs w:val="false"/>
                <w:strike w:val="false"/>
                <w:color w:val="006600"/>
                <w:sz w:val="22"/>
                <w:szCs w:val="22"/>
              </w:rPr>
              <w:t xml:space="preserve">✓ Compliant. Gitea's webhook system is the enabling technology for this rule. Push events deliver JSON payloads containing the list of changed files, commit SHAs, and author information. The webhook listener parses this payload and triggers the appropriate governance action — this is the critical capability that IIS-only architecture lacks entirely.</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Deterministic Builds</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same commit SHA must produce the same governance output regardless of when or where it is processed.</w:t>
            </w:r>
          </w:p>
        </w:tc>
        <w:tc>
          <w:tcPr>
            <w:tcW w:type="pct" w:w="61%"/>
            <w:tcMar>
              <w:top w:type="dxa" w:w="90"/>
              <w:left w:type="dxa" w:w="120"/>
              <w:bottom w:type="dxa" w:w="90"/>
              <w:right w:type="dxa" w:w="120"/>
            </w:tcMar>
          </w:tcPr>
          <w:p>
            <w:r>
              <w:rPr>
                <w:rFonts w:ascii="Calibri" w:cs="Calibri" w:eastAsia="Calibri" w:hAnsi="Calibri"/>
                <w:b/>
                <w:bCs/>
                <w:i w:val="false"/>
                <w:iCs w:val="false"/>
                <w:strike w:val="false"/>
                <w:color w:val="006600"/>
                <w:sz w:val="22"/>
                <w:szCs w:val="22"/>
              </w:rPr>
              <w:t xml:space="preserve">✓ Compliant. Gitea does not alter Git's content-addressable storage model. The SHA-1 (or SHA-256) integrity of every commit, tree, and blob is preserved. The REST API returns the same content for the same SHA indefinitely. Determinism is a Git property, not a hosting property — Gitea preserves it.</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Access Control</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Repository access must be restricted to authorized identities authenticated against organizational directory services.</w:t>
            </w:r>
          </w:p>
        </w:tc>
        <w:tc>
          <w:tcPr>
            <w:tcW w:type="pct" w:w="61%"/>
            <w:tcMar>
              <w:top w:type="dxa" w:w="90"/>
              <w:left w:type="dxa" w:w="120"/>
              <w:bottom w:type="dxa" w:w="90"/>
              <w:right w:type="dxa" w:w="120"/>
            </w:tcMar>
          </w:tcPr>
          <w:p>
            <w:r>
              <w:rPr>
                <w:rFonts w:ascii="Calibri" w:cs="Calibri" w:eastAsia="Calibri" w:hAnsi="Calibri"/>
                <w:b/>
                <w:bCs/>
                <w:i w:val="false"/>
                <w:iCs w:val="false"/>
                <w:strike w:val="false"/>
                <w:color w:val="006600"/>
                <w:sz w:val="22"/>
                <w:szCs w:val="22"/>
              </w:rPr>
              <w:t xml:space="preserve">✓ Compliant. Gitea provides two authentication layers: (a) LDAP/AD — domain credentials validated against Active Directory; (b) OAuth2/OIDC — Entra ID SSO with conditional access policy support. Repository permissions (read, write, admin) are configured per-user and per-team within Gitea. IIS adds network-level access control via IP restrictions.</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Disaster Recovery</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canon must be recoverable from a complete server loss. Recovery procedures must be documented and tested.</w:t>
            </w:r>
          </w:p>
        </w:tc>
        <w:tc>
          <w:tcPr>
            <w:tcW w:type="pct" w:w="61%"/>
            <w:tcMar>
              <w:top w:type="dxa" w:w="90"/>
              <w:left w:type="dxa" w:w="120"/>
              <w:bottom w:type="dxa" w:w="90"/>
              <w:right w:type="dxa" w:w="120"/>
            </w:tcMar>
          </w:tcPr>
          <w:p>
            <w:r>
              <w:rPr>
                <w:rFonts w:ascii="Calibri" w:cs="Calibri" w:eastAsia="Calibri" w:hAnsi="Calibri"/>
                <w:b/>
                <w:bCs/>
                <w:i w:val="false"/>
                <w:iCs w:val="false"/>
                <w:strike w:val="false"/>
                <w:color w:val="006600"/>
                <w:sz w:val="22"/>
                <w:szCs w:val="22"/>
              </w:rPr>
              <w:t xml:space="preserve">✓ Compliant. Recovery requires: (a) the Gitea binary (version-pinned, cached offline); (b) the bare Git repository directory (</w:t>
            </w:r>
            <w:r>
              <w:rPr>
                <w:rFonts w:ascii="Courier New" w:cs="Courier New" w:eastAsia="Courier New" w:hAnsi="Courier New"/>
                <w:b/>
                <w:bCs/>
                <w:i w:val="false"/>
                <w:iCs w:val="false"/>
                <w:color w:val="000000"/>
                <w:sz w:val="20"/>
                <w:szCs w:val="20"/>
                <w:shd w:fill="F3F4F6" w:color="auto" w:val="clear"/>
              </w:rPr>
              <w:t xml:space="preserve">D:\GitRepos\</w:t>
            </w:r>
            <w:r>
              <w:rPr>
                <w:rFonts w:ascii="Calibri" w:cs="Calibri" w:eastAsia="Calibri" w:hAnsi="Calibri"/>
                <w:b/>
                <w:bCs/>
                <w:i w:val="false"/>
                <w:iCs w:val="false"/>
                <w:strike w:val="false"/>
                <w:color w:val="006600"/>
                <w:sz w:val="22"/>
                <w:szCs w:val="22"/>
              </w:rPr>
              <w:t xml:space="preserve"> — standard file-level backup); (c) the SQLite database (</w:t>
            </w:r>
            <w:r>
              <w:rPr>
                <w:rFonts w:ascii="Courier New" w:cs="Courier New" w:eastAsia="Courier New" w:hAnsi="Courier New"/>
                <w:b/>
                <w:bCs/>
                <w:i w:val="false"/>
                <w:iCs w:val="false"/>
                <w:color w:val="000000"/>
                <w:sz w:val="20"/>
                <w:szCs w:val="20"/>
                <w:shd w:fill="F3F4F6" w:color="auto" w:val="clear"/>
              </w:rPr>
              <w:t xml:space="preserve">gitea.db</w:t>
            </w:r>
            <w:r>
              <w:rPr>
                <w:rFonts w:ascii="Calibri" w:cs="Calibri" w:eastAsia="Calibri" w:hAnsi="Calibri"/>
                <w:b/>
                <w:bCs/>
                <w:i w:val="false"/>
                <w:iCs w:val="false"/>
                <w:strike w:val="false"/>
                <w:color w:val="006600"/>
                <w:sz w:val="22"/>
                <w:szCs w:val="22"/>
              </w:rPr>
              <w:t xml:space="preserve"> — single file backup); (d) the </w:t>
            </w:r>
            <w:r>
              <w:rPr>
                <w:rFonts w:ascii="Courier New" w:cs="Courier New" w:eastAsia="Courier New" w:hAnsi="Courier New"/>
                <w:b/>
                <w:bCs/>
                <w:i w:val="false"/>
                <w:iCs w:val="false"/>
                <w:color w:val="000000"/>
                <w:sz w:val="20"/>
                <w:szCs w:val="20"/>
                <w:shd w:fill="F3F4F6" w:color="auto" w:val="clear"/>
              </w:rPr>
              <w:t xml:space="preserve">app.ini</w:t>
            </w:r>
            <w:r>
              <w:rPr>
                <w:rFonts w:ascii="Calibri" w:cs="Calibri" w:eastAsia="Calibri" w:hAnsi="Calibri"/>
                <w:b/>
                <w:bCs/>
                <w:i w:val="false"/>
                <w:iCs w:val="false"/>
                <w:strike w:val="false"/>
                <w:color w:val="006600"/>
                <w:sz w:val="22"/>
                <w:szCs w:val="22"/>
              </w:rPr>
              <w:t xml:space="preserve"> configuration file. Additionally, Gitea's mirror API can maintain a live replica to a secondary location, and Git's distributed nature means every clone is a full backup of the repository history.</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GCC-Moderate Boundary</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All infrastructure must operate within the GCC-Moderate boundary. No Azure PaaS/IaaS services. Microsoft 365 SaaS only.</w:t>
            </w:r>
          </w:p>
        </w:tc>
        <w:tc>
          <w:tcPr>
            <w:tcW w:type="pct" w:w="61%"/>
            <w:tcMar>
              <w:top w:type="dxa" w:w="90"/>
              <w:left w:type="dxa" w:w="120"/>
              <w:bottom w:type="dxa" w:w="90"/>
              <w:right w:type="dxa" w:w="120"/>
            </w:tcMar>
          </w:tcPr>
          <w:p>
            <w:r>
              <w:rPr>
                <w:rFonts w:ascii="Calibri" w:cs="Calibri" w:eastAsia="Calibri" w:hAnsi="Calibri"/>
                <w:b/>
                <w:bCs/>
                <w:i w:val="false"/>
                <w:iCs w:val="false"/>
                <w:strike w:val="false"/>
                <w:color w:val="006600"/>
                <w:sz w:val="22"/>
                <w:szCs w:val="22"/>
              </w:rPr>
              <w:t xml:space="preserve">✓ Compliant. Gitea runs entirely on-premises on Windows Server 2025. SQLite is embedded — no cloud database. The only outbound cloud connections are: (a) Entra ID for OAuth2 authentication (M365 SaaS — within boundary); (b) Graph API for Intune policy deployment (M365 SaaS — within boundary); (c) Azure Arc agent communication (governance plane only — not Azure IaaS). No Azure App Service, Azure SQL, Azure DevOps Services, or any PaaS/IaaS dependency.</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80"/>
              <w:left w:type="dxa" w:w="180"/>
              <w:bottom w:type="dxa" w:w="180"/>
              <w:right w:type="dxa" w:w="180"/>
            </w:tcMar>
          </w:tcPr>
          <w:p>
            <w:pPr>
              <w:spacing w:after="120" w:line="408" w:lineRule="auto"/>
            </w:pPr>
            <w:r>
              <w:rPr>
                <w:b/>
                <w:bCs/>
                <w:i w:val="false"/>
                <w:iCs w:val="false"/>
                <w:color w:val="000000"/>
              </w:rPr>
              <w:t xml:space="preserve">COMPLIANCE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Gitea + IIS architecture satisfies </w:t>
            </w:r>
            <w:r>
              <w:rPr>
                <w:rFonts w:ascii="Calibri" w:cs="Calibri" w:eastAsia="Calibri" w:hAnsi="Calibri"/>
                <w:b/>
                <w:bCs/>
                <w:i w:val="false"/>
                <w:iCs w:val="false"/>
                <w:strike w:val="false"/>
                <w:color w:val="000000"/>
                <w:sz w:val="22"/>
                <w:szCs w:val="22"/>
              </w:rPr>
              <w:t xml:space="preserve">all nine Canon governance rules</w:t>
            </w:r>
            <w:r>
              <w:rPr>
                <w:rFonts w:ascii="Calibri" w:cs="Calibri" w:eastAsia="Calibri" w:hAnsi="Calibri"/>
                <w:b w:val="false"/>
                <w:bCs w:val="false"/>
                <w:i w:val="false"/>
                <w:iCs w:val="false"/>
                <w:strike w:val="false"/>
                <w:color w:val="000000"/>
                <w:sz w:val="22"/>
                <w:szCs w:val="22"/>
              </w:rPr>
              <w:t xml:space="preserve">. Critically, it enables rules that were previously unenforceable — Canon Supremacy verification via API, Metadata Schema validation via webhook automation, and Governance Automation via event-driven pipelines. These capabilities do not exist in the IIS-only architecture.</w:t>
            </w:r>
          </w:p>
        </w:tc>
      </w:tr>
    </w:tbl>
    <w:p>
      <w:pPr>
        <w:spacing w:after="240" w:before="0"/>
      </w:pPr>
    </w:p>
    <w:p>
      <w:pPr>
        <w:spacing w:after="120" w:before="60" w:line="360" w:lineRule="auto"/>
      </w:pPr>
      <w:r>
        <w:rPr>
          <w:rFonts w:ascii="Calibri" w:cs="Calibri" w:eastAsia="Calibri" w:hAnsi="Calibri"/>
          <w:b w:val="false"/>
          <w:bCs w:val="false"/>
          <w:i w:val="false"/>
          <w:iCs w:val="false"/>
          <w:strike w:val="false"/>
          <w:color w:val="666666"/>
          <w:sz w:val="22"/>
          <w:szCs w:val="22"/>
        </w:rPr>
        <w:t xml:space="preserve">UIAO Architecture Decision Record — ADR-001 — Version 1.0 — April 20, 2026</w:t>
      </w:r>
      <w:r>
        <w:rPr>
          <w:rFonts w:ascii="Calibri" w:cs="Calibri" w:eastAsia="Calibri" w:hAnsi="Calibri"/>
          <w:b w:val="false"/>
          <w:bCs w:val="false"/>
          <w:i w:val="false"/>
          <w:iCs w:val="false"/>
          <w:color w:val="666666"/>
          <w:sz w:val="22"/>
          <w:szCs w:val="22"/>
        </w:rPr>
        <w:br/>
      </w:r>
      <w:r>
        <w:rPr>
          <w:rFonts w:ascii="Calibri" w:cs="Calibri" w:eastAsia="Calibri" w:hAnsi="Calibri"/>
          <w:b w:val="false"/>
          <w:bCs w:val="false"/>
          <w:i w:val="false"/>
          <w:iCs w:val="false"/>
          <w:strike w:val="false"/>
          <w:color w:val="666666"/>
          <w:sz w:val="22"/>
          <w:szCs w:val="22"/>
        </w:rPr>
        <w:t xml:space="preserve"> Classification: Internal — Architecture Decision</w:t>
      </w:r>
      <w:r>
        <w:rPr>
          <w:rFonts w:ascii="Calibri" w:cs="Calibri" w:eastAsia="Calibri" w:hAnsi="Calibri"/>
          <w:b w:val="false"/>
          <w:bCs w:val="false"/>
          <w:i w:val="false"/>
          <w:iCs w:val="false"/>
          <w:color w:val="666666"/>
          <w:sz w:val="22"/>
          <w:szCs w:val="22"/>
        </w:rPr>
        <w:br/>
      </w:r>
      <w:r>
        <w:rPr>
          <w:rFonts w:ascii="Calibri" w:cs="Calibri" w:eastAsia="Calibri" w:hAnsi="Calibri"/>
          <w:b w:val="false"/>
          <w:bCs w:val="false"/>
          <w:i w:val="false"/>
          <w:iCs w:val="false"/>
          <w:strike w:val="false"/>
          <w:color w:val="666666"/>
          <w:sz w:val="22"/>
          <w:szCs w:val="22"/>
        </w:rPr>
        <w:t xml:space="preserve"> Author: Michael Stratton, Canon Steward &amp; Modernization Architect</w:t>
      </w:r>
      <w:r>
        <w:rPr>
          <w:rFonts w:ascii="Calibri" w:cs="Calibri" w:eastAsia="Calibri" w:hAnsi="Calibri"/>
          <w:b w:val="false"/>
          <w:bCs w:val="false"/>
          <w:i w:val="false"/>
          <w:iCs w:val="false"/>
          <w:color w:val="666666"/>
          <w:sz w:val="22"/>
          <w:szCs w:val="22"/>
        </w:rPr>
        <w:br/>
      </w:r>
      <w:r>
        <w:rPr>
          <w:rFonts w:ascii="Calibri" w:cs="Calibri" w:eastAsia="Calibri" w:hAnsi="Calibri"/>
          <w:b w:val="false"/>
          <w:bCs w:val="false"/>
          <w:i w:val="false"/>
          <w:iCs w:val="false"/>
          <w:strike w:val="false"/>
          <w:color w:val="666666"/>
          <w:sz w:val="22"/>
          <w:szCs w:val="22"/>
        </w:rPr>
        <w:t xml:space="preserve"> Repository: github.com/WhalerMike/uiao</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pAwtNKvQ2JNPcxrJg5kRA</dc:title>
  <dc:creator>Un-named</dc:creator>
  <dc:description>Generated document</dc:description>
  <cp:lastModifiedBy>Un-named</cp:lastModifiedBy>
  <cp:revision>1</cp:revision>
  <dcterms:created xsi:type="dcterms:W3CDTF">2026-04-20T20:45:19.929Z</dcterms:created>
  <dcterms:modified xsi:type="dcterms:W3CDTF">2026-04-20T20:45:19.929Z</dcterms:modified>
</cp:coreProperties>
</file>

<file path=docProps/custom.xml><?xml version="1.0" encoding="utf-8"?>
<Properties xmlns="http://schemas.openxmlformats.org/officeDocument/2006/custom-properties" xmlns:vt="http://schemas.openxmlformats.org/officeDocument/2006/docPropsVTypes"/>
</file>