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 w:line="312" w:lineRule="auto"/>
      </w:pPr>
      <w:r>
        <w:rPr>
          <w:rFonts w:ascii="Calibri" w:cs="Calibri" w:eastAsia="Calibri" w:hAnsi="Calibri"/>
          <w:color w:val="1B3A5C"/>
          <w:sz w:val="56"/>
          <w:szCs w:val="56"/>
        </w:rPr>
        <w:t xml:space="preserve">UIAO-Core CLI Reference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 Current (April 2026)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Environment: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 Commercial Cloud (FedRAMP-governed); GCC-Moderate applies to Microsoft 365 SaaS services only.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Toolkit: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 OSCAL compliance toolkit for US Government systems.</w:t>
      </w:r>
    </w:p>
    <w:p>
      <w:pPr>
        <w:pBdr>
          <w:bottom w:val="single" w:color="1B3A5C" w:sz="6"/>
        </w:pBdr>
        <w:spacing w:after="240" w:before="240"/>
      </w:pP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1.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UIAO-Core is the canonical command-line toolkit for the Unified Integration Architecture &amp; Operations (UIAO) framework. It automates the full lifecycle of compliance artifact generation, continuous monitoring, governance reporting, and auditor evidence packaging — from canon YAML source-of-truth through OSCAL-compliant outputs.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CLI is organized around a deterministic pipeline architecture: Canon YAML → OSCAL generation → visual rendering → artifact packaging → continuous monitoring → IR (Intermediate Representation) governance pipeline. Every command is designed to be idempotent, auditable, and traceable to its canon source.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EF2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Governance Note</w:t>
            </w:r>
          </w:p>
          <w:p>
            <w:pPr>
              <w:spacing w:after="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UIAO operates in Commercial Cloud as governed by FedRAMP unless specifically noted. GCC-Moderate applies to Microsoft 365 SaaS services only and does not include Azure services. We are not FedRAMP High.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2. Global Options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options are available on every UIAO-Core command invocation.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1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Option</w:t>
            </w:r>
          </w:p>
        </w:tc>
        <w:tc>
          <w:tcPr>
            <w:tcW w:type="pct" w:w="11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Short</w:t>
            </w:r>
          </w:p>
        </w:tc>
        <w:tc>
          <w:tcPr>
            <w:tcW w:type="pct" w:w="68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--version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-V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Show the UIAO-Core version and exit.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--help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Show the top-level help message and exit.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3. Command Reference by Pipeline Stage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3.1 Core OSCAL Generation &amp; Validation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These commands form the foundation of the UIAO compliance pipeline. They produce and validate OSCAL (Open Security Controls Assessment Language) artifacts from the canonical YAML source-of-truth. Every downstream artifact — SSPs, POA&amp;Ms, dashboards, briefings — traces its provenance back to the outputs of this stage.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4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41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generate-ssp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an OSCAL SSP from canon YAML and data files.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SSP generation; authoritative compliance narrative.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Validate an OSCAL document against its schema.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Schema-level structural validation gate.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canon-check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canon YAML files for consistency.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First-line defense against configuration drift.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validate-ssp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Validate OSCAL artifacts with compliance-trestle Pydantic models.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Semantic validation beyond schema compliance.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generate-ssp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This is the primary SSP generation command. It reads the canonical YAML configuration and data files to produce a fully-formed OSCAL System Security Plan. The SSP is the authoritative compliance narrative for the system boundary, control implementations, and responsible parties.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validate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Performs schema-level validation of any OSCAL document (SSP, SAR, SAP, POA&amp;M, component-definition) against the NIST OSCAL schema. Use this to catch structural errors before submission or downstream processing.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canon-check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Ensures that all canon YAML files are internally consistent — cross-references resolve, required fields are present, enumerations are valid, and no drift has occurred between canon sources. This is the first-line defense against configuration drift.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validate-ssp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Goes beyond schema validation by loading OSCAL artifacts through NIST compliance-trestle's Pydantic V1 models. This catches semantic errors that pass schema validation — invalid control references, orphaned parameters, broken cross-links. Currently emits a compatibility warning on Python 3.14+ due to Pydantic V1 deprecation; this warning is expected and non-blocking.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3.2 Visual &amp; Artifact Generation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UIAO produces leadership-grade deliverables — DOCX briefings, PPTX decks, embedded diagrams, and AI-generated visuals. These commands render canon data into presentation-ready formats. All visuals use PlantUML for deterministic, version-controlled diagram generation. Gemini API integration provides AI-generated imagery for executive-facing materials.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4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9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generate-visuals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Render PlantUML diagrams to PNG for DOCX/PPTX embedding.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Diagram rendering stage; produces publication-quality PNGs.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generate-gemini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images via Gemini API (requires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GEMINI_API_KEY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AI-generated visuals for executive-facing materials.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generate-pptx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a leadership briefing PPTX deck.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Executive communication; governance and risk posture.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generate-docx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a rich DOCX leadership briefing with embedded visuals.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Word-format leadership briefing with embedded diagrams.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generate-diagrams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PlantUML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.puml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files and render them to PNG from canon YAML.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Deterministic, version-controlled diagram generation.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generate-docs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Render Jinja2 templates into Markdown docs using canon YAML and data files.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Parameterized documentation from templates.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generate-artifacts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DOCX + PPTX with embedded PlantUML and Gemini visuals.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visual artifact pipeline in a single invocation.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generate-briefing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personal briefing document from live repo state.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operational awareness; live pipeline and governance status.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generate-visuals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Reads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.puml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source files and renders them to PNG at publication-quality resolution. Output PNGs are sized and titled for direct embedding into Word and PowerPoint artifacts. All images include titles and dimensions per UIAO standards.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generate-gemini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AI-generated visuals using Google's Gemini API. Used for executive-facing imagery, conceptual illustrations, and briefing cover art. Requires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GEMINI_API_KEY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environment variable.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 PowerPoint leadership briefing from canon YAML and rendered visuals. The deck follows canonical UIAO formatting and is designed for executive communication — governance status, risk posture, compliance narrative.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 Word document leadership briefing with embedded PlantUML diagrams and Gemini visuals. Follows canonical formatting: muted-blue headers, black body text, titled and dimensioned images.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generate-diagrams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two-stage command: first generates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.puml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source files from canon YAML data (system boundaries, data flows, network diagrams), then renders them to PNG. This is the canonical path for deterministic, version-controlled diagram generation.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generate-docs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Uses Jinja2 templating to produce Markdown documentation from canon YAML. Supports parameterized templates for recurring document types — control narratives, boundary descriptions, operational procedures.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generate-artifacts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convenience command that runs the full visual artifact pipeline: PlantUML rendering → Gemini image generation → DOCX + PPTX assembly. Produces both deliverables in a single invocation with consistent embedded visuals.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generate-briefing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 personalized briefing document by reading the live state of the UIAO repository — open issues, PR status, governance actions, drift alerts, and pipeline health. Designed for daily operational awareness.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3.3 Supply Chain Security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Software supply chain transparency is a FedRAMP and NIST requirement. UIAO generates machine-readable Software Bills of Materials (SBOMs) to document every dependency in the compliance toolkit itself and in assessed systems.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6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8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generate-sbom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a CycloneDX 1.4 Software Bill of Materials (SBOM).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Supply chain transparency; EO 14028 compliance.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generate-sbom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 CycloneDX 1.4-compliant SBOM enumerating all software components, dependencies, and versions. Supports supply chain risk assessment, vulnerability tracking, and Executive Order 14028 compliance.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3.4 Continuous Monitoring (ConMon)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Continuous monitoring is the operational heartbeat of FedRAMP compliance. These commands process live security telemetry (Sentinel alerts), manage Plans of Action &amp; Milestones (POA&amp;Ms), export ongoing authorization evidence, and produce KSI (Key Security Indicator) dashboards. The ConMon pipeline transforms raw security events into governance-grade artifacts.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2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40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conmon-process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Process a Sentinel alert and auto-upsert a POA&amp;M entry.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ConMon event processing automation.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conmon-export-oa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an OSCAL ongoing-authorization evidence artifact.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ATO maintenance; evidence for authorizing officials.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conmon-dashboard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the KSI continuous monitoring dashboard.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Governance-grade security posture summary.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conmon-process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Ingests a Microsoft Sentinel security alert, classifies it against the UIAO control framework, and automatically creates or updates the corresponding POA&amp;M entry. This is the primary automation for continuous monitoring event processing.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conmon-export-oa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Produces an OSCAL-compliant ongoing authorization evidence package. This artifact demonstrates continuous compliance posture for ATO maintenance and ConMon reporting to authorizing officials.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conmon-dashboard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Generates the Key Security Indicator (KSI) dashboard — a governance-grade summary of security posture, control effectiveness, and operational health. Includes SLA status, drift indicators, and trend data.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3.5 Full Pipeline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end-to-end generation from canon YAML through all output artifacts in a single deterministic pass.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9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6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generate-all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the full UIAO generation pipeline: YAML canon → all output artifacts.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Canonical "build everything" command; idempotent.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generate-all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Executes every generation stage in dependency order: canon validation → SSP generation → diagram rendering → Gemini visuals → DOCX/PPTX assembly → SBOM. This is the canonical "build everything" command. Idempotent — safe to re-run at any time.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3.6 Adapter Layer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Adapters are the integration boundary between external vendor tools and the UIAO canonical data model. They ingest third-party assessment outputs and normalize them into UIAO's DNS-style claim format — lightweight, human-readable, and traceable — without requiring heavy OSCAL conversion at the adapter boundary. The adapter layer is where external truth enters the UIAO provenance chain.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8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5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adapter-run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a vendor adapter and align claims (DNS-style, no heavy OSCAL conversion).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Generic adapter runner; normalizes vendor output.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adapter-run-scuba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SCuBA adapter: ingest ScubaGear report and map to UIAO KSI evidence.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M365 security posture assessment integration.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adapter-run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generic adapter runner. Ingests output from a vendor assessment tool, normalizes findings into DNS-style claims (e.g.,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M365.EXO.DKIM.PASS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and aligns them against UIAO's canonical control mapping. Adapter output feeds downstream IR and governance pipelines.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adapter-run-scuba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specialized adapter for CISA's ScubaGear (Secure Cloud Business Applications) assessment tool. Ingests a ScubaGear JSON report, maps each policy result to the corresponding UIAO KSI, and produces normalized evidence objects. This is the primary M365 security posture assessment integration.</w:t>
      </w:r>
    </w:p>
    <w:p>
      <w:pPr>
        <w:pStyle w:val="Heading3"/>
        <w:spacing w:after="120" w:before="360" w:line="312" w:lineRule="auto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3.7 IR (Intermediate Representation) Pipeline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IR pipeline is the analytical and governance core of UIAO. It transforms normalized adapter output (starting with SCuBA) through a deterministic chain: raw results → normalized IR objects → evidence bundles → governance actions → auditor packages. Every stage produces traceable, machine-readable artifacts. The IR layer enables drift detection, freshness tracking, POA&amp;M generation, SSP narrative synthesis, and full auditor evidence packaging — all from a single source-of-truth pipeline.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Command</w:t>
            </w:r>
          </w:p>
        </w:tc>
        <w:tc>
          <w:tcPr>
            <w:tcW w:type="pct" w:w="47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5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Pipeline Role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ir-scuba-transform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Transform normalized SCuBA JSON → IR Evidence objects and print summary.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 pipeline entry point; canonical evidence creation.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ir-evidence-bundle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Build a canonical EvidenceBundle from a SCuBA transform and print summary.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Evidence aggregation; auditor-consumable unit.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ir-poam-export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POA&amp;M rows (FAIL + WARN only) from a SCuBA run and print summary.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Non-passing findings → actionable POA&amp;M entries.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ir-drift-detect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Detect drift between two IR state JSON files and print classification.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Change detection; governance escalation trigger.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ir-governance-report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full governance pipeline: SCuBA → IR → Evidence → Actions → Report.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Comprehensive governance report synthesis.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ir-ssp-report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Generate SSP narrative + lineage from SCuBA → IR → Evidence → Governance.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SSP authoring with full provenance lineage.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ir-auditor-bundle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full pipeline and write all auditor artifacts to a directory.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Auditor-facing artifact packaging.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ir-diff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Diff two SCuBA runs: KSI changes, evidence hash deltas, status changes.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Trend analysis and regression detection.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ir-validate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Validate a normalized SCuBA JSON file for IR pipeline conformance.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Input validation gate for IR pipeline.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ir-freshness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Compute evidence freshness and generate refresh actions for stale evidence.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ConMon compliance; evidence currency enforcement.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ir-dashboard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Build IR governance dashboard: evidence freshness + governance action summary.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Capstone governance visibility; daily operational use.</w:t>
            </w:r>
          </w:p>
        </w:tc>
      </w:tr>
    </w:tbl>
    <w:p>
      <w:pPr>
        <w:spacing w:after="200" w:before="0"/>
      </w:pPr>
    </w:p>
    <w:p>
      <w:pPr>
        <w:pStyle w:val="Heading4"/>
        <w:spacing w:after="80" w:before="240" w:line="312" w:lineRule="auto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Details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ir-scuba-transform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entry point of the IR pipeline. Takes normalized SCuBA adapter output and transforms it into canonical IR Evidence objects — typed, hashed, timestamped records suitable for governance processing.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ir-evidence-bundle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Aggregates individual IR Evidence objects into a canonical EvidenceBundle — a signed, timestamped collection with provenance metadata. The bundle is the unit of evidence for auditor consumption and governance reporting.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ir-poam-export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Extracts all FAIL and WARN findings from an IR pipeline run and formats them as POA&amp;M (Plan of Action &amp; Milestones) rows. Each row includes control mapping, severity, remediation timeline, and responsible party. Only non-passing results generate POA&amp;M entries.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ir-drift-detect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Compares two IR state snapshots (e.g., consecutive SCuBA runs) and classifies changes: new findings, resolved findings, regressions, severity changes, and configuration drift. Drift classification drives governance escalation workflows.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ir-governance-report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full governance pipeline in a single command. Ingests SCuBA output and runs it through every IR stage — transform, evidence bundling, action generation, and report synthesis. Produces a comprehensive governance report with findings, actions, and recommendations.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ir-ssp-report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Synthesizes an SSP (System Security Plan) narrative section with full provenance lineage — tracing every statement back through the governance pipeline to its source SCuBA finding. Designed for SSP authoring and ATO package preparation.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ir-auditor-bundle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auditor-facing command. Runs the complete IR pipeline and writes every artifact — evidence bundles, POA&amp;M exports, governance reports, SSP narratives, drift analyses — to a single directory structure suitable for auditor review.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ir-diff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focused comparison tool for two SCuBA assessment runs. Reports KSI-level changes, evidence hash deltas (detecting content changes even when status is unchanged), and status transitions. Used for trend analysis and regression detection.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ir-validate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Validates that a normalized SCuBA JSON file conforms to the IR pipeline's input schema. Catches structural issues before they propagate through the pipeline — missing fields, invalid enumerations, schema violations.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ir-freshness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Evaluates the age of every evidence object against its required refresh interval. Produces a freshness report and generates actionable refresh tasks for any evidence that is stale or approaching staleness. Critical for ConMon compliance — evidence must be current to maintain ATO.</w:t>
      </w:r>
    </w:p>
    <w:p>
      <w:pPr>
        <w:spacing w:after="120" w:before="60" w:line="360" w:lineRule="auto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ir-dashboard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capstone IR command. Produces a governance dashboard combining evidence freshness status, pending governance actions, drift alerts, and pipeline health metrics. Designed for daily operational governance and leadership visibility.</w:t>
      </w: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4. Pipeline Architecture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UIAO-Core CLI implements a deterministic pipeline architecture. Every artifact produced by any command is traceable back to its canon YAML source-of-truth. The pipeline flows through the following stages: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7F9FC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spacing w:after="120" w:line="408" w:lineRule="auto"/>
            </w:pPr>
            <w:r>
              <w:t xml:space="preserve">Canon YAML (Source of Truth)</w:t>
            </w:r>
          </w:p>
          <w:p>
            <w:pPr>
              <w:spacing w:after="120" w:line="408" w:lineRule="auto"/>
            </w:pPr>
            <w:r>
              <w:t xml:space="preserve">→ Core OSCAL Generation</w:t>
            </w:r>
          </w:p>
          <w:p>
            <w:pPr>
              <w:spacing w:after="120" w:line="408" w:lineRule="auto"/>
            </w:pPr>
            <w:r>
              <w:t xml:space="preserve">→ Visual Rendering</w:t>
            </w:r>
          </w:p>
          <w:p>
            <w:pPr>
              <w:spacing w:after="120" w:line="408" w:lineRule="auto"/>
            </w:pPr>
            <w:r>
              <w:t xml:space="preserve">→ Artifact Packaging</w:t>
            </w:r>
          </w:p>
          <w:p>
            <w:pPr>
              <w:spacing w:after="120" w:line="408" w:lineRule="auto"/>
            </w:pPr>
            <w:r>
              <w:t xml:space="preserve">→ Continuous Monitoring</w:t>
            </w:r>
          </w:p>
          <w:p>
            <w:pPr>
              <w:spacing w:after="120" w:line="408" w:lineRule="auto"/>
            </w:pPr>
            <w:r>
              <w:t xml:space="preserve">→ Adapter Ingestion</w:t>
            </w:r>
          </w:p>
          <w:p>
            <w:pPr>
              <w:spacing w:after="120" w:line="408" w:lineRule="auto"/>
            </w:pPr>
            <w:r>
              <w:t xml:space="preserve">→ IR Pipeline</w:t>
            </w:r>
          </w:p>
          <w:p>
            <w:pPr>
              <w:spacing w:after="120" w:line="408" w:lineRule="auto"/>
            </w:pPr>
            <w:r>
              <w:t xml:space="preserve">→ Governance Reporting</w:t>
            </w:r>
          </w:p>
          <w:p>
            <w:pPr>
              <w:spacing w:after="120" w:line="408" w:lineRule="auto"/>
            </w:pPr>
            <w:r>
              <w:t xml:space="preserve">→ Auditor Delivery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pipeline is designed to be idempotent — any stage can be re-run without side effects. Re-running a stage with identical inputs produces identical outputs. This property is essential for auditability: an auditor can re-execute any pipeline stage and verify that the output matches the delivered artifact.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IR pipeline specifically enforces provenance by hashing evidence objects and tracking lineage through every transformation. Each IR Evidence object carries a content hash, a timestamp, and a reference to its source adapter output. EvidenceBundles aggregate these objects with a bundle-level hash, creating a tamper-evident chain from raw vendor assessment through governance action.</w:t>
      </w: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5. Environment &amp; Prerequisites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Prerequisite</w:t>
            </w:r>
          </w:p>
        </w:tc>
        <w:tc>
          <w:tcPr>
            <w:tcW w:type="pct" w:w="80%"/>
            <w:shd w:fill="DCE4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 3.14+. The Pydantic V1 compatibility warning emitted by compliance-trestle is expected and non-blocking.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compliance-trestle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NIST compliance-trestle library for OSCAL Pydantic model validation. Required by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validate-ssp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PlantUML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Java runtime required for diagram rendering. Used by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generate-visuals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generate-diagrams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GEMINI_API_KEY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Environment variable required for AI-generated visuals via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generate-gemini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YAML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YAML files must be present and pass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canon-check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before any generation command is executed.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EF2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B3A5C"/>
                <w:sz w:val="22"/>
                <w:szCs w:val="22"/>
              </w:rPr>
              <w:t xml:space="preserve">Environment Boundaries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UIAO operates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Commercial Cloud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as governed by FedRAMP.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GCC-Moderate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applies to Microsoft 365 SaaS services only — it does not include Azure services.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 Connect Contact Center is an explicit exception running in Commercial Cloud.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480" w:line="312" w:lineRule="auto"/>
      </w:pPr>
      <w:r>
        <w:rPr>
          <w:rFonts w:ascii="Calibri" w:cs="Calibri" w:eastAsia="Calibri" w:hAnsi="Calibri"/>
          <w:color w:val="1B3A5C"/>
          <w:sz w:val="36"/>
          <w:szCs w:val="36"/>
        </w:rPr>
        <w:t xml:space="preserve">6. Canonical Rules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governance rules are authoritative and apply to all UIAO operations, artifacts, and communications: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We are not FedRAMP High.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UIAO operates under FedRAMP governance at the applicable baseline; no artifacts, narratives, or communications should assert or imply FedRAMP High authorization.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GCC-Moderate applies to Microsoft 365 SaaS services only.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Azure services, Amazon Web Services, and other cloud infrastructure operate under their respective Commercial Cloud authorizations.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UIAO operates in Commercial Cloud as governed by FedRAMP unless specifically noted.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Exceptions (e.g., Amazon Connect) are explicitly documented.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 references to any previous version in any context prior to the current version.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All artifacts are current-state only. Historical version references are not carried forward.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Every artifact must be canonical, deterministic, and provenance-aligned.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Outputs are reproducible from canon YAML, traceable through the pipeline, and consistent across invocations.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i2VKmoYtPRnpo3QVCrihV</dc:title>
  <dc:creator>Un-named</dc:creator>
  <dc:description>Generated document</dc:description>
  <cp:lastModifiedBy>Un-named</cp:lastModifiedBy>
  <cp:revision>1</cp:revision>
  <dcterms:created xsi:type="dcterms:W3CDTF">2026-04-08T20:11:30.564Z</dcterms:created>
  <dcterms:modified xsi:type="dcterms:W3CDTF">2026-04-08T20:11:30.564Z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