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20"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End w:id="20"/>
    <w:bookmarkStart w:id="21" w:name="architectural-overview"/>
    <w:p>
      <w:pPr>
        <w:pStyle w:val="Heading1"/>
      </w:pPr>
      <w:r>
        <w:t xml:space="preserve">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1"/>
    <w:bookmarkStart w:id="27" w:name="the-five-control-planes"/>
    <w:p>
      <w:pPr>
        <w:pStyle w:val="Heading1"/>
      </w:pPr>
      <w:r>
        <w:t xml:space="preserve">The Five Control Planes</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
    <w:p>
      <w:pPr>
        <w:pStyle w:val="Heading1"/>
      </w:pPr>
      <w:r>
        <w:t xml:space="preserve">The Seven Core Concepts</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architectural-rationale"/>
    <w:p>
      <w:pPr>
        <w:pStyle w:val="Heading1"/>
      </w:pPr>
      <w:r>
        <w:t xml:space="preserve">Architectural Rationale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Unified Architecture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2026-03-20T14:58:54Z</dcterms:created>
  <dcterms:modified xsi:type="dcterms:W3CDTF">2026-03-20T14:58:54Z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