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FedRAMP 20x Authorization.</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submitted to FedRAMP PMO.]</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Authorization</w:t>
            </w:r>
          </w:p>
        </w:tc>
        <w:tc>
          <w:tcPr/>
          <w:p>
            <w:pPr>
              <w:pStyle w:val="Compact"/>
            </w:pPr>
            <w:r>
              <w:t xml:space="preserve">Significant change, annual assessment</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FedRAMP 20x authorization package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2026-07-06T13:56:06Z</dcterms:created>
  <dcterms:modified xsi:type="dcterms:W3CDTF">2026-07-06T13:56:06Z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