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Document ID</w:t>
            </w:r>
          </w:p>
        </w:tc>
        <w:tc>
          <w:tcPr>
            <w:tcW w:type="pct" w:w="50%"/>
            <w:shd w:fill="F4F6F8"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UIAO_048</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Title</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ADR-048: OrgPath Attribute Storage Decision</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Version</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1.0</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Status</w:t>
            </w:r>
          </w:p>
        </w:tc>
        <w:tc>
          <w:tcPr>
            <w:tcW w:type="pct" w:w="50%"/>
            <w:shd w:fill="F4F6F8"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PROPOSED</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Classification</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Controlled</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Owner</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Michael Stratton</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Created</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2026-04-28</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Updated</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2026-04-28</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Boundary</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GCC-Moderate (M365 SaaS)</w:t>
            </w:r>
          </w:p>
        </w:tc>
      </w:tr>
      <w:tr>
        <w:trPr>
          <w:tblHeader w:val="false"/>
        </w:trPr>
        <w:tc>
          <w:tcPr>
            <w:tcW w:type="pct" w:w="50%"/>
            <w:shd w:fill="D6DCE4"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Blocking</w:t>
            </w:r>
          </w:p>
        </w:tc>
        <w:tc>
          <w:tcPr>
            <w:tcW w:type="pct" w:w="50%"/>
            <w:shd w:fill="F4F6F8" w:color="auto" w:val="clear"/>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UIAO_031 (Dynamic Group Spec), UIAO_034 (Conditional Access Spec), UIAO_039 (SCuBA Drift Detection Spec)</w:t>
            </w:r>
          </w:p>
        </w:tc>
      </w:tr>
    </w:tbl>
    <w:p>
      <w:pPr>
        <w:spacing w:after="200" w:before="0"/>
      </w:pPr>
    </w:p>
    <w:p>
      <w:pPr>
        <w:pStyle w:val="Heading1"/>
        <w:spacing w:after="120" w:before="480" w:line="312" w:lineRule="auto"/>
      </w:pPr>
      <w:r>
        <w:rPr>
          <w:rFonts w:ascii="Cambria" w:cs="Cambria" w:eastAsia="Cambria" w:hAnsi="Cambria"/>
          <w:color w:val="1B2A4A"/>
          <w:sz w:val="48"/>
          <w:szCs w:val="48"/>
        </w:rPr>
        <w:t xml:space="preserve">ADR-048: OrgPath Attribute Storage Decision</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1. Status</w:t>
      </w:r>
    </w:p>
    <w:p>
      <w:pPr>
        <w:spacing w:after="240" w:before="60" w:line="360" w:lineRule="auto"/>
      </w:pPr>
      <w:r>
        <w:rPr>
          <w:rFonts w:ascii="Cambria" w:cs="Cambria" w:eastAsia="Cambria" w:hAnsi="Cambria"/>
          <w:b/>
          <w:bCs/>
          <w:i w:val="false"/>
          <w:iCs w:val="false"/>
          <w:strike w:val="false"/>
          <w:color w:val="000000"/>
          <w:sz w:val="22"/>
          <w:szCs w:val="22"/>
        </w:rPr>
        <w:t xml:space="preserve">PROPOSED</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2. Context</w:t>
      </w:r>
    </w:p>
    <w:p>
      <w:pPr>
        <w:spacing w:after="240" w:before="60" w:line="360" w:lineRule="auto"/>
      </w:pPr>
      <w:r>
        <w:rPr>
          <w:rFonts w:ascii="Cambria" w:cs="Cambria" w:eastAsia="Cambria" w:hAnsi="Cambria"/>
          <w:b/>
          <w:bCs/>
          <w:i w:val="false"/>
          <w:iCs w:val="false"/>
          <w:strike w:val="false"/>
          <w:color w:val="000000"/>
          <w:sz w:val="22"/>
          <w:szCs w:val="22"/>
        </w:rPr>
        <w:t xml:space="preserve">OrgPath</w:t>
      </w:r>
      <w:r>
        <w:rPr>
          <w:rFonts w:ascii="Cambria" w:cs="Cambria" w:eastAsia="Cambria" w:hAnsi="Cambria"/>
          <w:b w:val="false"/>
          <w:bCs w:val="false"/>
          <w:i w:val="false"/>
          <w:iCs w:val="false"/>
          <w:strike w:val="false"/>
          <w:color w:val="000000"/>
          <w:sz w:val="22"/>
          <w:szCs w:val="22"/>
        </w:rPr>
        <w:t xml:space="preserve"> is the canonical identity hierarchy for UIAO. It encodes organizational structure as a dot-delimited path (e.g., </w:t>
      </w:r>
      <w:r>
        <w:rPr>
          <w:rFonts w:ascii="Cambria" w:cs="Cambria" w:eastAsia="Cambria" w:hAnsi="Cambria"/>
          <w:b/>
          <w:bCs/>
          <w:i w:val="false"/>
          <w:iCs w:val="false"/>
          <w:strike w:val="false"/>
          <w:color w:val="000000"/>
          <w:sz w:val="22"/>
          <w:szCs w:val="22"/>
        </w:rPr>
        <w:t xml:space="preserve">UIAO.REGION.DIVISION.UNIT</w:t>
      </w:r>
      <w:r>
        <w:rPr>
          <w:rFonts w:ascii="Cambria" w:cs="Cambria" w:eastAsia="Cambria" w:hAnsi="Cambria"/>
          <w:b w:val="false"/>
          <w:bCs w:val="false"/>
          <w:i w:val="false"/>
          <w:iCs w:val="false"/>
          <w:strike w:val="false"/>
          <w:color w:val="000000"/>
          <w:sz w:val="22"/>
          <w:szCs w:val="22"/>
        </w:rPr>
        <w:t xml:space="preserve">) and serves as the single authoritative source for where a principal sits within the governance topology. Every governed user principal carries an OrgPath value that positions it within the UIAO organizational tree, enabling deterministic policy targeting, delegated administration scoping, and compliance baselining across the entire tenant.</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OrgPath is consumed by multiple downstream systems simultaneously. These include: dynamic group membership rules, Conditional Access policy scoping, Microsoft Intune device and app management, ARC (Azure Resource Consistency) governance tagging, SCuBA drift detection baselines, delegated administration boundaries, license assignment automation, and network/data segmentation policies. The attribute is not informational — it is load-bearing. A failure in OrgPath availability or accuracy cascades across every governance control surface that depends on organizational identity resolution.</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UIAO operates in Commercial Cloud as governed by FedRAMP. The GCC-Moderate compliance boundary applies exclusively to Microsoft 365 SaaS services and does not extend to Azure services. This boundary constraint limits the attribute storage decision to mechanisms that are fully supported, generally available, and production-hardened within GCC-Moderate M365 tenants. Features in preview, features limited to commercial tenants, or features requiring Azure-only infrastructure are excluded from consideration.</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The OrgPath value is currently stored in </w:t>
      </w:r>
      <w:r>
        <w:rPr>
          <w:rFonts w:ascii="Cambria" w:cs="Cambria" w:eastAsia="Cambria" w:hAnsi="Cambria"/>
          <w:b/>
          <w:bCs/>
          <w:i w:val="false"/>
          <w:iCs w:val="false"/>
          <w:strike w:val="false"/>
          <w:color w:val="000000"/>
          <w:sz w:val="22"/>
          <w:szCs w:val="22"/>
        </w:rPr>
        <w:t xml:space="preserve">extensionAttribute1</w:t>
      </w:r>
      <w:r>
        <w:rPr>
          <w:rFonts w:ascii="Cambria" w:cs="Cambria" w:eastAsia="Cambria" w:hAnsi="Cambria"/>
          <w:b w:val="false"/>
          <w:bCs w:val="false"/>
          <w:i w:val="false"/>
          <w:iCs w:val="false"/>
          <w:strike w:val="false"/>
          <w:color w:val="000000"/>
          <w:sz w:val="22"/>
          <w:szCs w:val="22"/>
        </w:rPr>
        <w:t xml:space="preserve"> on user objects in Microsoft Entra ID. This ADR formalizes the evaluation and rationale for that decision. The decision is blocking across three dependent specifications — </w:t>
      </w:r>
      <w:r>
        <w:rPr>
          <w:rFonts w:ascii="Cambria" w:cs="Cambria" w:eastAsia="Cambria" w:hAnsi="Cambria"/>
          <w:b/>
          <w:bCs/>
          <w:i w:val="false"/>
          <w:iCs w:val="false"/>
          <w:strike w:val="false"/>
          <w:color w:val="000000"/>
          <w:sz w:val="22"/>
          <w:szCs w:val="22"/>
        </w:rPr>
        <w:t xml:space="preserve">UIAO_031</w:t>
      </w:r>
      <w:r>
        <w:rPr>
          <w:rFonts w:ascii="Cambria" w:cs="Cambria" w:eastAsia="Cambria" w:hAnsi="Cambria"/>
          <w:b w:val="false"/>
          <w:bCs w:val="false"/>
          <w:i w:val="false"/>
          <w:iCs w:val="false"/>
          <w:strike w:val="false"/>
          <w:color w:val="000000"/>
          <w:sz w:val="22"/>
          <w:szCs w:val="22"/>
        </w:rPr>
        <w:t xml:space="preserve"> (Dynamic Group Spec), </w:t>
      </w:r>
      <w:r>
        <w:rPr>
          <w:rFonts w:ascii="Cambria" w:cs="Cambria" w:eastAsia="Cambria" w:hAnsi="Cambria"/>
          <w:b/>
          <w:bCs/>
          <w:i w:val="false"/>
          <w:iCs w:val="false"/>
          <w:strike w:val="false"/>
          <w:color w:val="000000"/>
          <w:sz w:val="22"/>
          <w:szCs w:val="22"/>
        </w:rPr>
        <w:t xml:space="preserve">UIAO_034</w:t>
      </w:r>
      <w:r>
        <w:rPr>
          <w:rFonts w:ascii="Cambria" w:cs="Cambria" w:eastAsia="Cambria" w:hAnsi="Cambria"/>
          <w:b w:val="false"/>
          <w:bCs w:val="false"/>
          <w:i w:val="false"/>
          <w:iCs w:val="false"/>
          <w:strike w:val="false"/>
          <w:color w:val="000000"/>
          <w:sz w:val="22"/>
          <w:szCs w:val="22"/>
        </w:rPr>
        <w:t xml:space="preserve"> (Conditional Access Spec), and </w:t>
      </w:r>
      <w:r>
        <w:rPr>
          <w:rFonts w:ascii="Cambria" w:cs="Cambria" w:eastAsia="Cambria" w:hAnsi="Cambria"/>
          <w:b/>
          <w:bCs/>
          <w:i w:val="false"/>
          <w:iCs w:val="false"/>
          <w:strike w:val="false"/>
          <w:color w:val="000000"/>
          <w:sz w:val="22"/>
          <w:szCs w:val="22"/>
        </w:rPr>
        <w:t xml:space="preserve">UIAO_039</w:t>
      </w:r>
      <w:r>
        <w:rPr>
          <w:rFonts w:ascii="Cambria" w:cs="Cambria" w:eastAsia="Cambria" w:hAnsi="Cambria"/>
          <w:b w:val="false"/>
          <w:bCs w:val="false"/>
          <w:i w:val="false"/>
          <w:iCs w:val="false"/>
          <w:strike w:val="false"/>
          <w:color w:val="000000"/>
          <w:sz w:val="22"/>
          <w:szCs w:val="22"/>
        </w:rPr>
        <w:t xml:space="preserve"> (SCuBA Drift Detection Spec) — none of which can proceed to draft status without a locked attribute commitment. This ADR provides that commitment.</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3. Problem Statement</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UIAO requires a single, canonical Entra ID attribute to store the OrgPath hierarchy string for every governed user principal. The chosen attribute must be simultaneously consumable by dynamic group membership rules, Conditional Access policies, Intune compliance and configuration profiles, SCuBA drift detection queries, and delegated administration scoping — all within a GCC-Moderate M365 SaaS boundary. Three dependent specifications are blocked pending this decision.</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4. Constraints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GCC-Moderate boundary</w:t>
      </w:r>
      <w:r>
        <w:rPr>
          <w:rFonts w:ascii="Cambria" w:cs="Cambria" w:eastAsia="Cambria" w:hAnsi="Cambria"/>
          <w:b w:val="false"/>
          <w:bCs w:val="false"/>
          <w:i w:val="false"/>
          <w:iCs w:val="false"/>
          <w:strike w:val="false"/>
          <w:color w:val="000000"/>
          <w:sz w:val="22"/>
          <w:szCs w:val="22"/>
        </w:rPr>
        <w:t xml:space="preserve"> — the attribute must be fully supported in GCC-Moderate M365 tenants (not preview, not commercial-only).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Dynamic group compatibility</w:t>
      </w:r>
      <w:r>
        <w:rPr>
          <w:rFonts w:ascii="Cambria" w:cs="Cambria" w:eastAsia="Cambria" w:hAnsi="Cambria"/>
          <w:b w:val="false"/>
          <w:bCs w:val="false"/>
          <w:i w:val="false"/>
          <w:iCs w:val="false"/>
          <w:strike w:val="false"/>
          <w:color w:val="000000"/>
          <w:sz w:val="22"/>
          <w:szCs w:val="22"/>
        </w:rPr>
        <w:t xml:space="preserve"> — the attribute must be usable in Entra ID dynamic membership rules for both security groups and Microsoft 365 groups.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Conditional Access consumability</w:t>
      </w:r>
      <w:r>
        <w:rPr>
          <w:rFonts w:ascii="Cambria" w:cs="Cambria" w:eastAsia="Cambria" w:hAnsi="Cambria"/>
          <w:b w:val="false"/>
          <w:bCs w:val="false"/>
          <w:i w:val="false"/>
          <w:iCs w:val="false"/>
          <w:strike w:val="false"/>
          <w:color w:val="000000"/>
          <w:sz w:val="22"/>
          <w:szCs w:val="22"/>
        </w:rPr>
        <w:t xml:space="preserve"> — the attribute must be targetable (directly or via dynamic group) in Conditional Access policies.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Intune integration</w:t>
      </w:r>
      <w:r>
        <w:rPr>
          <w:rFonts w:ascii="Cambria" w:cs="Cambria" w:eastAsia="Cambria" w:hAnsi="Cambria"/>
          <w:b w:val="false"/>
          <w:bCs w:val="false"/>
          <w:i w:val="false"/>
          <w:iCs w:val="false"/>
          <w:strike w:val="false"/>
          <w:color w:val="000000"/>
          <w:sz w:val="22"/>
          <w:szCs w:val="22"/>
        </w:rPr>
        <w:t xml:space="preserve"> — the attribute must be readable by Intune for device/app management policy assignment.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Graph API accessibility</w:t>
      </w:r>
      <w:r>
        <w:rPr>
          <w:rFonts w:ascii="Cambria" w:cs="Cambria" w:eastAsia="Cambria" w:hAnsi="Cambria"/>
          <w:b w:val="false"/>
          <w:bCs w:val="false"/>
          <w:i w:val="false"/>
          <w:iCs w:val="false"/>
          <w:strike w:val="false"/>
          <w:color w:val="000000"/>
          <w:sz w:val="22"/>
          <w:szCs w:val="22"/>
        </w:rPr>
        <w:t xml:space="preserve"> — the attribute must be readable and writable via Microsoft Graph API for automation pipelines.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String storage</w:t>
      </w:r>
      <w:r>
        <w:rPr>
          <w:rFonts w:ascii="Cambria" w:cs="Cambria" w:eastAsia="Cambria" w:hAnsi="Cambria"/>
          <w:b w:val="false"/>
          <w:bCs w:val="false"/>
          <w:i w:val="false"/>
          <w:iCs w:val="false"/>
          <w:strike w:val="false"/>
          <w:color w:val="000000"/>
          <w:sz w:val="22"/>
          <w:szCs w:val="22"/>
        </w:rPr>
        <w:t xml:space="preserve"> — OrgPath values are dot-delimited strings up to 256 characters.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Sync compatibility</w:t>
      </w:r>
      <w:r>
        <w:rPr>
          <w:rFonts w:ascii="Cambria" w:cs="Cambria" w:eastAsia="Cambria" w:hAnsi="Cambria"/>
          <w:b w:val="false"/>
          <w:bCs w:val="false"/>
          <w:i w:val="false"/>
          <w:iCs w:val="false"/>
          <w:strike w:val="false"/>
          <w:color w:val="000000"/>
          <w:sz w:val="22"/>
          <w:szCs w:val="22"/>
        </w:rPr>
        <w:t xml:space="preserve"> — the attribute must support both cloud-only and hybrid (Entra Connect synced) identity models.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SCuBA queryability</w:t>
      </w:r>
      <w:r>
        <w:rPr>
          <w:rFonts w:ascii="Cambria" w:cs="Cambria" w:eastAsia="Cambria" w:hAnsi="Cambria"/>
          <w:b w:val="false"/>
          <w:bCs w:val="false"/>
          <w:i w:val="false"/>
          <w:iCs w:val="false"/>
          <w:strike w:val="false"/>
          <w:color w:val="000000"/>
          <w:sz w:val="22"/>
          <w:szCs w:val="22"/>
        </w:rPr>
        <w:t xml:space="preserve"> — the attribute must be queryable by SCuBA/ScubaGear compliance tooling for drift detection against canonical baselines.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Operational simplicity</w:t>
      </w:r>
      <w:r>
        <w:rPr>
          <w:rFonts w:ascii="Cambria" w:cs="Cambria" w:eastAsia="Cambria" w:hAnsi="Cambria"/>
          <w:b w:val="false"/>
          <w:bCs w:val="false"/>
          <w:i w:val="false"/>
          <w:iCs w:val="false"/>
          <w:strike w:val="false"/>
          <w:color w:val="000000"/>
          <w:sz w:val="22"/>
          <w:szCs w:val="22"/>
        </w:rPr>
        <w:t xml:space="preserve"> — the attribute must not require ongoing application registration management or complex naming conventions.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Single-attribute determinism</w:t>
      </w:r>
      <w:r>
        <w:rPr>
          <w:rFonts w:ascii="Cambria" w:cs="Cambria" w:eastAsia="Cambria" w:hAnsi="Cambria"/>
          <w:b w:val="false"/>
          <w:bCs w:val="false"/>
          <w:i w:val="false"/>
          <w:iCs w:val="false"/>
          <w:strike w:val="false"/>
          <w:color w:val="000000"/>
          <w:sz w:val="22"/>
          <w:szCs w:val="22"/>
        </w:rPr>
        <w:t xml:space="preserve"> — one attribute, one canonical location. No fan-out, no secondary copies.</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5. Options Considered</w:t>
      </w:r>
    </w:p>
    <w:p>
      <w:pPr>
        <w:pStyle w:val="Heading3"/>
        <w:spacing w:after="120" w:before="280" w:line="312" w:lineRule="auto"/>
      </w:pPr>
      <w:r>
        <w:rPr>
          <w:rFonts w:ascii="Cambria" w:cs="Cambria" w:eastAsia="Cambria" w:hAnsi="Cambria"/>
          <w:color w:val="1B2A4A"/>
          <w:sz w:val="28"/>
          <w:szCs w:val="28"/>
        </w:rPr>
        <w:t xml:space="preserve">Option A: Exchange Extension Attribute (extensionAttribute1)</w:t>
      </w:r>
    </w:p>
    <w:p>
      <w:pPr>
        <w:spacing w:after="240" w:before="60" w:line="360" w:lineRule="auto"/>
      </w:pPr>
      <w:r>
        <w:rPr>
          <w:rFonts w:ascii="Cambria" w:cs="Cambria" w:eastAsia="Cambria" w:hAnsi="Cambria"/>
          <w:b/>
          <w:bCs/>
          <w:i w:val="false"/>
          <w:iCs w:val="false"/>
          <w:strike w:val="false"/>
          <w:color w:val="000000"/>
          <w:sz w:val="22"/>
          <w:szCs w:val="22"/>
        </w:rPr>
        <w:t xml:space="preserve">extensionAttribute1</w:t>
      </w:r>
      <w:r>
        <w:rPr>
          <w:rFonts w:ascii="Cambria" w:cs="Cambria" w:eastAsia="Cambria" w:hAnsi="Cambria"/>
          <w:b w:val="false"/>
          <w:bCs w:val="false"/>
          <w:i w:val="false"/>
          <w:iCs w:val="false"/>
          <w:strike w:val="false"/>
          <w:color w:val="000000"/>
          <w:sz w:val="22"/>
          <w:szCs w:val="22"/>
        </w:rPr>
        <w:t xml:space="preserve"> through </w:t>
      </w:r>
      <w:r>
        <w:rPr>
          <w:rFonts w:ascii="Cambria" w:cs="Cambria" w:eastAsia="Cambria" w:hAnsi="Cambria"/>
          <w:b/>
          <w:bCs/>
          <w:i w:val="false"/>
          <w:iCs w:val="false"/>
          <w:strike w:val="false"/>
          <w:color w:val="000000"/>
          <w:sz w:val="22"/>
          <w:szCs w:val="22"/>
        </w:rPr>
        <w:t xml:space="preserve">extensionAttribute15</w:t>
      </w:r>
      <w:r>
        <w:rPr>
          <w:rFonts w:ascii="Cambria" w:cs="Cambria" w:eastAsia="Cambria" w:hAnsi="Cambria"/>
          <w:b w:val="false"/>
          <w:bCs w:val="false"/>
          <w:i w:val="false"/>
          <w:iCs w:val="false"/>
          <w:strike w:val="false"/>
          <w:color w:val="000000"/>
          <w:sz w:val="22"/>
          <w:szCs w:val="22"/>
        </w:rPr>
        <w:t xml:space="preserve"> are 15 predefined string-type attributes on Entra ID user and device objects, originally introduced with the Exchange schema extension. They are first-class citizens in Entra ID — fully supported in dynamic group membership rules, exposed via Microsoft Graph API, syncable via Entra Connect from on-premises Active Directory, and readable across M365 services including Intune. In GCC-Moderate tenants, these attributes are generally available and not in preview. They have been part of the Exchange and directory schema since Exchange Server 2003, making them among the most stable and well-understood attributes in the Microsoft identity platform.</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The syntax for dynamic group rules is straightforward: </w:t>
      </w:r>
      <w:r>
        <w:rPr>
          <w:rFonts w:ascii="Cambria" w:cs="Cambria" w:eastAsia="Cambria" w:hAnsi="Cambria"/>
          <w:b/>
          <w:bCs/>
          <w:i w:val="false"/>
          <w:iCs w:val="false"/>
          <w:strike w:val="false"/>
          <w:color w:val="000000"/>
          <w:sz w:val="22"/>
          <w:szCs w:val="22"/>
        </w:rPr>
        <w:t xml:space="preserve">(user.extensionAttribute1 -eq "UIAO.REGION.DIV")</w:t>
      </w:r>
      <w:r>
        <w:rPr>
          <w:rFonts w:ascii="Cambria" w:cs="Cambria" w:eastAsia="Cambria" w:hAnsi="Cambria"/>
          <w:b w:val="false"/>
          <w:bCs w:val="false"/>
          <w:i w:val="false"/>
          <w:iCs w:val="false"/>
          <w:strike w:val="false"/>
          <w:color w:val="000000"/>
          <w:sz w:val="22"/>
          <w:szCs w:val="22"/>
        </w:rPr>
        <w:t xml:space="preserve"> or pattern-matching with </w:t>
      </w:r>
      <w:r>
        <w:rPr>
          <w:rFonts w:ascii="Cambria" w:cs="Cambria" w:eastAsia="Cambria" w:hAnsi="Cambria"/>
          <w:b/>
          <w:bCs/>
          <w:i w:val="false"/>
          <w:iCs w:val="false"/>
          <w:strike w:val="false"/>
          <w:color w:val="000000"/>
          <w:sz w:val="22"/>
          <w:szCs w:val="22"/>
        </w:rPr>
        <w:t xml:space="preserve">-match</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bCs/>
          <w:i w:val="false"/>
          <w:iCs w:val="false"/>
          <w:strike w:val="false"/>
          <w:color w:val="000000"/>
          <w:sz w:val="22"/>
          <w:szCs w:val="22"/>
        </w:rPr>
        <w:t xml:space="preserve">-startsWith</w:t>
      </w:r>
      <w:r>
        <w:rPr>
          <w:rFonts w:ascii="Cambria" w:cs="Cambria" w:eastAsia="Cambria" w:hAnsi="Cambria"/>
          <w:b w:val="false"/>
          <w:bCs w:val="false"/>
          <w:i w:val="false"/>
          <w:iCs w:val="false"/>
          <w:strike w:val="false"/>
          <w:color w:val="000000"/>
          <w:sz w:val="22"/>
          <w:szCs w:val="22"/>
        </w:rPr>
        <w:t xml:space="preserve"> operators. No application registration is required. The attribute is visible in the Entra portal UI, Microsoft Graph, and PowerShell. The primary limitation is the fixed set of 15 attributes (shared across all organizational uses) and the string-only data type, which means format enforcement must occur at the write pipeline rather than in the attribute store.</w:t>
      </w:r>
    </w:p>
    <w:p>
      <w:pPr>
        <w:pStyle w:val="Heading3"/>
        <w:spacing w:after="120" w:before="280" w:line="312" w:lineRule="auto"/>
      </w:pPr>
      <w:r>
        <w:rPr>
          <w:rFonts w:ascii="Cambria" w:cs="Cambria" w:eastAsia="Cambria" w:hAnsi="Cambria"/>
          <w:color w:val="1B2A4A"/>
          <w:sz w:val="28"/>
          <w:szCs w:val="28"/>
        </w:rPr>
        <w:t xml:space="preserve">Option B: Custom Security Attributes</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Custom security attributes are a newer Entra ID feature that allows organizations to define typed, structured attributes organized into attribute sets. They provide fine-grained RBAC for attribute read/write permissions and can be assigned to users, service principals, and applications. They are supported in Conditional Access via the application filter mechanism, enabling policy scoping based on attribute values assigned to enterprise applications.</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However, </w:t>
      </w:r>
      <w:r>
        <w:rPr>
          <w:rFonts w:ascii="Cambria" w:cs="Cambria" w:eastAsia="Cambria" w:hAnsi="Cambria"/>
          <w:b/>
          <w:bCs/>
          <w:i w:val="false"/>
          <w:iCs w:val="false"/>
          <w:strike w:val="false"/>
          <w:color w:val="000000"/>
          <w:sz w:val="22"/>
          <w:szCs w:val="22"/>
        </w:rPr>
        <w:t xml:space="preserve">custom security attributes cannot be used in dynamic group membership rules</w:t>
      </w:r>
      <w:r>
        <w:rPr>
          <w:rFonts w:ascii="Cambria" w:cs="Cambria" w:eastAsia="Cambria" w:hAnsi="Cambria"/>
          <w:b w:val="false"/>
          <w:bCs w:val="false"/>
          <w:i w:val="false"/>
          <w:iCs w:val="false"/>
          <w:strike w:val="false"/>
          <w:color w:val="000000"/>
          <w:sz w:val="22"/>
          <w:szCs w:val="22"/>
        </w:rPr>
        <w:t xml:space="preserve">. This is a fundamental limitation documented by Microsoft. Since OrgPath must drive dynamic group membership for downstream policy targeting — including Conditional Access, Intune, licensing, and segmentation — this limitation is a hard blocker. Additionally, custom security attributes are not exposed to Intune compliance or configuration policy assignment. Custom security attributes are designed for access governance and audit tagging scenarios, not for identity hierarchy encoding that must fan out through group-based policy.</w:t>
      </w:r>
    </w:p>
    <w:p>
      <w:pPr>
        <w:pStyle w:val="Heading3"/>
        <w:spacing w:after="120" w:before="280" w:line="312" w:lineRule="auto"/>
      </w:pPr>
      <w:r>
        <w:rPr>
          <w:rFonts w:ascii="Cambria" w:cs="Cambria" w:eastAsia="Cambria" w:hAnsi="Cambria"/>
          <w:color w:val="1B2A4A"/>
          <w:sz w:val="28"/>
          <w:szCs w:val="28"/>
        </w:rPr>
        <w:t xml:space="preserve">Option C: Directory Extensions (App-Registered Extensions)</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Directory extensions allow organizations to register custom attributes on directory objects (users, groups, devices) through an application registration. They support typed values and can be used in dynamic group membership rules, though the syntax requires the full application-qualified name: </w:t>
      </w:r>
      <w:r>
        <w:rPr>
          <w:rFonts w:ascii="Cambria" w:cs="Cambria" w:eastAsia="Cambria" w:hAnsi="Cambria"/>
          <w:b/>
          <w:bCs/>
          <w:i w:val="false"/>
          <w:iCs w:val="false"/>
          <w:strike w:val="false"/>
          <w:color w:val="000000"/>
          <w:sz w:val="22"/>
          <w:szCs w:val="22"/>
        </w:rPr>
        <w:t xml:space="preserve">(user.extension_{appId}_{attributeName} -eq "value")</w:t>
      </w:r>
      <w:r>
        <w:rPr>
          <w:rFonts w:ascii="Cambria" w:cs="Cambria" w:eastAsia="Cambria" w:hAnsi="Cambria"/>
          <w:b w:val="false"/>
          <w:bCs w:val="false"/>
          <w:i w:val="false"/>
          <w:iCs w:val="false"/>
          <w:strike w:val="false"/>
          <w:color w:val="000000"/>
          <w:sz w:val="22"/>
          <w:szCs w:val="22"/>
        </w:rPr>
        <w:t xml:space="preserve">. The attribute name includes the application's client ID (with hyphens removed), resulting in long, opaque rule expressions.</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The operational overhead is significant: every directory extension is tied to an application registration that must be maintained, the attribute name includes a GUID-based prefix making rules harder to read and audit, and the application registration itself becomes a governance dependency. If the registration is deleted or misconfigured, all downstream dynamic groups referencing the extension break silently. In GCC-Moderate tenants, directory extensions are supported but add an unnecessary layer of infrastructure management that contradicts UIAO's operational simplicity constraint. The GUID-prefixed naming also degrades auditability — a reviewer examining a dynamic group rule cannot determine the attribute's semantic meaning without cross-referencing the application registration.</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6. Evaluation Criteria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8%"/>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Criterion</w:t>
            </w:r>
          </w:p>
        </w:tc>
        <w:tc>
          <w:tcPr>
            <w:tcW w:type="pct" w:w="13%"/>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Weight</w:t>
            </w:r>
          </w:p>
        </w:tc>
        <w:tc>
          <w:tcPr>
            <w:tcW w:type="pct" w:w="59%"/>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Description</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Dynamic Group Support</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Critical</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can be used in dynamic membership rules for security and M365 groups</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Conditional Access Integration</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Critical</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is consumable in CA policies (directly or via dynamic group)</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GCC-Moderate GA Status</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Critical</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type is generally available (not preview) in GCC-Moderate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Intune Readability</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High</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is readable by Intune for policy assignment</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Graph API Read/Write</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High</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CRUD via Microsoft Graph for automation</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Operational Simplicity</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High</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application registration dependency, no GUID-prefixed naming</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SCuBA/ScubaGear Queryability</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High</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is queryable for compliance drift detection</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Entra Connect Sync</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Medium</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Supports hybrid identity sync from on-premises AD</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Naming Clarity</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Medium</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name is human-readable in rules and audit logs</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Capacity</w:t>
            </w:r>
          </w:p>
        </w:tc>
        <w:tc>
          <w:tcPr>
            <w:tcW w:type="pct" w:w="13%"/>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Low</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Number of available attribute slots</w:t>
            </w:r>
          </w:p>
        </w:tc>
      </w:tr>
    </w:tbl>
    <w:p>
      <w:pPr>
        <w:spacing w:after="20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7. Comparative Analysis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18"/>
                <w:szCs w:val="18"/>
              </w:rPr>
              <w:t xml:space="preserve">Criterion</w:t>
            </w:r>
          </w:p>
        </w:tc>
        <w:tc>
          <w:tcPr>
            <w:tcW w:type="pct" w:w="22%"/>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18"/>
                <w:szCs w:val="18"/>
              </w:rPr>
              <w:t xml:space="preserve">extensionAttribute1 (Option A)</w:t>
            </w:r>
          </w:p>
        </w:tc>
        <w:tc>
          <w:tcPr>
            <w:tcW w:type="pct" w:w="3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18"/>
                <w:szCs w:val="18"/>
              </w:rPr>
              <w:t xml:space="preserve">Custom Security Attribute (Option B)</w:t>
            </w:r>
          </w:p>
        </w:tc>
        <w:tc>
          <w:tcPr>
            <w:tcW w:type="pct" w:w="28%"/>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18"/>
                <w:szCs w:val="18"/>
              </w:rPr>
              <w:t xml:space="preserve">Directory Extension (Option C)</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Dynamic Group Support</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native support, simple syntax</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CC0000"/>
                <w:sz w:val="22"/>
                <w:szCs w:val="22"/>
              </w:rPr>
              <w:t xml:space="preserve">FAIL</w:t>
            </w:r>
            <w:r>
              <w:rPr>
                <w:rFonts w:ascii="Cambria" w:cs="Cambria" w:eastAsia="Cambria" w:hAnsi="Cambria"/>
                <w:b w:val="false"/>
                <w:bCs w:val="false"/>
                <w:i w:val="false"/>
                <w:iCs w:val="false"/>
                <w:strike w:val="false"/>
                <w:color w:val="000000"/>
                <w:sz w:val="18"/>
                <w:szCs w:val="18"/>
              </w:rPr>
              <w:t xml:space="preserve"> — not supported in dynamic group rules</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supported but requires app-qualified name</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Conditional Access Integration</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via dynamic group membership</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B36B00"/>
                <w:sz w:val="22"/>
                <w:szCs w:val="22"/>
              </w:rPr>
              <w:t xml:space="preserve">PARTIAL</w:t>
            </w:r>
            <w:r>
              <w:rPr>
                <w:rFonts w:ascii="Cambria" w:cs="Cambria" w:eastAsia="Cambria" w:hAnsi="Cambria"/>
                <w:b w:val="false"/>
                <w:bCs w:val="false"/>
                <w:i w:val="false"/>
                <w:iCs w:val="false"/>
                <w:strike w:val="false"/>
                <w:color w:val="000000"/>
                <w:sz w:val="18"/>
                <w:szCs w:val="18"/>
              </w:rPr>
              <w:t xml:space="preserve"> — direct CA filter for apps only, not user scoping</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via dynamic group membership</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GCC-Moderate GA Status</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GA</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GA</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GA</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Intune Readability</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native support</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CC0000"/>
                <w:sz w:val="22"/>
                <w:szCs w:val="22"/>
              </w:rPr>
              <w:t xml:space="preserve">FAIL</w:t>
            </w:r>
            <w:r>
              <w:rPr>
                <w:rFonts w:ascii="Cambria" w:cs="Cambria" w:eastAsia="Cambria" w:hAnsi="Cambria"/>
                <w:b w:val="false"/>
                <w:bCs w:val="false"/>
                <w:i w:val="false"/>
                <w:iCs w:val="false"/>
                <w:strike w:val="false"/>
                <w:color w:val="000000"/>
                <w:sz w:val="18"/>
                <w:szCs w:val="18"/>
              </w:rPr>
              <w:t xml:space="preserve"> — not exposed to Intune compliance</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supported via Graph</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Graph API Read/Write</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full CRUD</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full CRUD with RBAC</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full CRUD</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Operational Simplicity</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no registration required</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attribute sets are self-contained</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CC0000"/>
                <w:sz w:val="22"/>
                <w:szCs w:val="22"/>
              </w:rPr>
              <w:t xml:space="preserve">FAIL</w:t>
            </w:r>
            <w:r>
              <w:rPr>
                <w:rFonts w:ascii="Cambria" w:cs="Cambria" w:eastAsia="Cambria" w:hAnsi="Cambria"/>
                <w:b w:val="false"/>
                <w:bCs w:val="false"/>
                <w:i w:val="false"/>
                <w:iCs w:val="false"/>
                <w:strike w:val="false"/>
                <w:color w:val="000000"/>
                <w:sz w:val="18"/>
                <w:szCs w:val="18"/>
              </w:rPr>
              <w:t xml:space="preserve"> — requires app registration lifecycle management</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SCuBA/ScubaGear Queryability</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queryable via Graph</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B36B00"/>
                <w:sz w:val="22"/>
                <w:szCs w:val="22"/>
              </w:rPr>
              <w:t xml:space="preserve">PARTIAL</w:t>
            </w:r>
            <w:r>
              <w:rPr>
                <w:rFonts w:ascii="Cambria" w:cs="Cambria" w:eastAsia="Cambria" w:hAnsi="Cambria"/>
                <w:b w:val="false"/>
                <w:bCs w:val="false"/>
                <w:i w:val="false"/>
                <w:iCs w:val="false"/>
                <w:strike w:val="false"/>
                <w:color w:val="000000"/>
                <w:sz w:val="18"/>
                <w:szCs w:val="18"/>
              </w:rPr>
              <w:t xml:space="preserve"> — separate API surface</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queryable via Graph</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Entra Connect Sync</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native sync support</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18"/>
                <w:szCs w:val="18"/>
              </w:rPr>
              <w:t xml:space="preserve">N/A — cloud-only, no on-prem sync</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sync via Tenant Schema Extension App</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Naming Clarity</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extensionAttribute1</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custom named</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CC0000"/>
                <w:sz w:val="22"/>
                <w:szCs w:val="22"/>
              </w:rPr>
              <w:t xml:space="preserve">FAIL</w:t>
            </w:r>
            <w:r>
              <w:rPr>
                <w:rFonts w:ascii="Cambria" w:cs="Cambria" w:eastAsia="Cambria" w:hAnsi="Cambria"/>
                <w:b w:val="false"/>
                <w:bCs w:val="false"/>
                <w:i w:val="false"/>
                <w:iCs w:val="false"/>
                <w:strike w:val="false"/>
                <w:color w:val="000000"/>
                <w:sz w:val="18"/>
                <w:szCs w:val="18"/>
              </w:rPr>
              <w:t xml:space="preserve"> — extension_{GUID}_{name}</w:t>
            </w:r>
          </w:p>
        </w:tc>
      </w:tr>
      <w:tr>
        <w:trPr>
          <w:tblHeader w:val="false"/>
        </w:trPr>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Attribute Capacity</w:t>
            </w:r>
          </w:p>
        </w:tc>
        <w:tc>
          <w:tcPr>
            <w:tcW w:type="pct" w:w="22%"/>
            <w:tcMar>
              <w:top w:type="dxa" w:w="90"/>
              <w:left w:type="dxa" w:w="120"/>
              <w:bottom w:type="dxa" w:w="90"/>
              <w:right w:type="dxa" w:w="120"/>
            </w:tcMar>
          </w:tcPr>
          <w:p>
            <w:r>
              <w:rPr>
                <w:rFonts w:ascii="Cambria" w:cs="Cambria" w:eastAsia="Cambria" w:hAnsi="Cambria"/>
                <w:b/>
                <w:bCs/>
                <w:i w:val="false"/>
                <w:iCs w:val="false"/>
                <w:strike w:val="false"/>
                <w:color w:val="555555"/>
                <w:sz w:val="22"/>
                <w:szCs w:val="22"/>
              </w:rPr>
              <w:t xml:space="preserve">MODERATE</w:t>
            </w:r>
            <w:r>
              <w:rPr>
                <w:rFonts w:ascii="Cambria" w:cs="Cambria" w:eastAsia="Cambria" w:hAnsi="Cambria"/>
                <w:b w:val="false"/>
                <w:bCs w:val="false"/>
                <w:i w:val="false"/>
                <w:iCs w:val="false"/>
                <w:strike w:val="false"/>
                <w:color w:val="000000"/>
                <w:sz w:val="18"/>
                <w:szCs w:val="18"/>
              </w:rPr>
              <w:t xml:space="preserve"> — 15 total shared slots</w:t>
            </w:r>
          </w:p>
        </w:tc>
        <w:tc>
          <w:tcPr>
            <w:tcW w:type="pct" w:w="30%"/>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unlimited attribute sets</w:t>
            </w:r>
          </w:p>
        </w:tc>
        <w:tc>
          <w:tcPr>
            <w:tcW w:type="pct" w:w="28%"/>
            <w:tcMar>
              <w:top w:type="dxa" w:w="90"/>
              <w:left w:type="dxa" w:w="120"/>
              <w:bottom w:type="dxa" w:w="90"/>
              <w:right w:type="dxa" w:w="120"/>
            </w:tcMar>
          </w:tcPr>
          <w:p>
            <w:r>
              <w:rPr>
                <w:rFonts w:ascii="Cambria" w:cs="Cambria" w:eastAsia="Cambria" w:hAnsi="Cambria"/>
                <w:b/>
                <w:bCs/>
                <w:i w:val="false"/>
                <w:iCs w:val="false"/>
                <w:strike w:val="false"/>
                <w:color w:val="1A6B1A"/>
                <w:sz w:val="22"/>
                <w:szCs w:val="22"/>
              </w:rPr>
              <w:t xml:space="preserve">PASS</w:t>
            </w:r>
            <w:r>
              <w:rPr>
                <w:rFonts w:ascii="Cambria" w:cs="Cambria" w:eastAsia="Cambria" w:hAnsi="Cambria"/>
                <w:b w:val="false"/>
                <w:bCs w:val="false"/>
                <w:i w:val="false"/>
                <w:iCs w:val="false"/>
                <w:strike w:val="false"/>
                <w:color w:val="000000"/>
                <w:sz w:val="18"/>
                <w:szCs w:val="18"/>
              </w:rPr>
              <w:t xml:space="preserve"> — unlimited per app</w:t>
            </w:r>
          </w:p>
        </w:tc>
      </w:tr>
      <w:tr>
        <w:trPr>
          <w:tblHeader w:val="false"/>
        </w:trPr>
        <w:tc>
          <w:tcPr>
            <w:tcW w:type="pct" w:w="2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Overall</w:t>
            </w:r>
          </w:p>
        </w:tc>
        <w:tc>
          <w:tcPr>
            <w:tcW w:type="pct" w:w="22%"/>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10/10 PASS</w:t>
            </w:r>
          </w:p>
        </w:tc>
        <w:tc>
          <w:tcPr>
            <w:tcW w:type="pct" w:w="3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4/10 PASS, 2 FAIL (blockers)</w:t>
            </w:r>
          </w:p>
        </w:tc>
        <w:tc>
          <w:tcPr>
            <w:tcW w:type="pct" w:w="28%"/>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8/10 PASS, 2 FAIL</w:t>
            </w:r>
          </w:p>
        </w:tc>
      </w:tr>
    </w:tbl>
    <w:p>
      <w:pPr>
        <w:spacing w:after="20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8. Decision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B2A4A" w:sz="6"/>
              <w:left w:val="single" w:color="1B2A4A" w:sz="6"/>
              <w:bottom w:val="single" w:color="1B2A4A" w:sz="6"/>
              <w:right w:val="single" w:color="1B2A4A" w:sz="6"/>
            </w:tcBorders>
            <w:shd w:fill="EDF0F5" w:color="auto" w:val="clear"/>
            <w:tcMar>
              <w:top w:type="dxa" w:w="180"/>
              <w:left w:type="dxa" w:w="240"/>
              <w:bottom w:type="dxa" w:w="180"/>
              <w:right w:type="dxa" w:w="240"/>
            </w:tcMar>
          </w:tcPr>
          <w:p>
            <w:pPr>
              <w:spacing w:after="0" w:line="360" w:lineRule="auto"/>
            </w:pPr>
            <w:r>
              <w:rPr>
                <w:rFonts w:ascii="Cambria" w:cs="Cambria" w:eastAsia="Cambria" w:hAnsi="Cambria"/>
                <w:b/>
                <w:bCs/>
                <w:i w:val="false"/>
                <w:iCs w:val="false"/>
                <w:strike w:val="false"/>
                <w:color w:val="1B2A4A"/>
                <w:sz w:val="24"/>
                <w:szCs w:val="24"/>
              </w:rPr>
              <w:t xml:space="preserve">extensionAttribute1 is selected as the canonical storage location for OrgPath.</w:t>
            </w:r>
          </w:p>
        </w:tc>
      </w:tr>
    </w:tbl>
    <w:p>
      <w:pPr>
        <w:spacing w:after="240" w:before="0"/>
      </w:pP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This decision is driven by the requirement that OrgPath simultaneously serve as the input to dynamic group membership rules, Conditional Access scoping, Intune policy targeting, SCuBA drift detection, delegated administration, and license automation. Only </w:t>
      </w:r>
      <w:r>
        <w:rPr>
          <w:rFonts w:ascii="Cambria" w:cs="Cambria" w:eastAsia="Cambria" w:hAnsi="Cambria"/>
          <w:b/>
          <w:bCs/>
          <w:i w:val="false"/>
          <w:iCs w:val="false"/>
          <w:strike w:val="false"/>
          <w:color w:val="000000"/>
          <w:sz w:val="22"/>
          <w:szCs w:val="22"/>
        </w:rPr>
        <w:t xml:space="preserve">extensionAttribute1</w:t>
      </w:r>
      <w:r>
        <w:rPr>
          <w:rFonts w:ascii="Cambria" w:cs="Cambria" w:eastAsia="Cambria" w:hAnsi="Cambria"/>
          <w:b w:val="false"/>
          <w:bCs w:val="false"/>
          <w:i w:val="false"/>
          <w:iCs w:val="false"/>
          <w:strike w:val="false"/>
          <w:color w:val="000000"/>
          <w:sz w:val="22"/>
          <w:szCs w:val="22"/>
        </w:rPr>
        <w:t xml:space="preserve"> satisfies all ten evaluation criteria without exception. It is the sole option that achieves universal downstream compatibility — native consumption by every UIAO control surface — without introducing adapter layers, secondary sync mechanisms, or infrastructure dependencies.</w:t>
      </w:r>
    </w:p>
    <w:p>
      <w:pPr>
        <w:spacing w:after="240" w:before="60" w:line="360" w:lineRule="auto"/>
      </w:pPr>
      <w:r>
        <w:rPr>
          <w:rFonts w:ascii="Cambria" w:cs="Cambria" w:eastAsia="Cambria" w:hAnsi="Cambria"/>
          <w:b w:val="false"/>
          <w:bCs w:val="false"/>
          <w:i w:val="false"/>
          <w:iCs w:val="false"/>
          <w:strike w:val="false"/>
          <w:color w:val="000000"/>
          <w:sz w:val="22"/>
          <w:szCs w:val="22"/>
        </w:rPr>
        <w:t xml:space="preserve">Custom security attributes are eliminated due to their inability to participate in dynamic group rules — a hard blocker that cannot be worked around without introducing a secondary sync mechanism that would violate the single-attribute determinism constraint. Directory extensions are technically capable but introduce unnecessary operational risk through application registration dependencies and degrade auditability with GUID-prefixed naming conventions. The marginal benefit of unlimited attribute capacity does not offset the governance burden of maintaining an application registration as critical infrastructure for identity hierarchy resolution.</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9. Rationale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Universal downstream compatibility</w:t>
      </w:r>
      <w:r>
        <w:rPr>
          <w:rFonts w:ascii="Cambria" w:cs="Cambria" w:eastAsia="Cambria" w:hAnsi="Cambria"/>
          <w:b w:val="false"/>
          <w:bCs w:val="false"/>
          <w:i w:val="false"/>
          <w:iCs w:val="false"/>
          <w:strike w:val="false"/>
          <w:color w:val="000000"/>
          <w:sz w:val="22"/>
          <w:szCs w:val="22"/>
        </w:rPr>
        <w:t xml:space="preserve"> — extensionAttribute1 is the only attribute type natively consumed by ALL UIAO downstream systems (dynamic groups, CA, Intune, SCuBA, delegated admin, licensing) without adapter layers.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Zero infrastructure dependency</w:t>
      </w:r>
      <w:r>
        <w:rPr>
          <w:rFonts w:ascii="Cambria" w:cs="Cambria" w:eastAsia="Cambria" w:hAnsi="Cambria"/>
          <w:b w:val="false"/>
          <w:bCs w:val="false"/>
          <w:i w:val="false"/>
          <w:iCs w:val="false"/>
          <w:strike w:val="false"/>
          <w:color w:val="000000"/>
          <w:sz w:val="22"/>
          <w:szCs w:val="22"/>
        </w:rPr>
        <w:t xml:space="preserve"> — no application registration, no attribute set provisioning, no RBAC role assignment required. The attribute exists on every Entra ID user object by default.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GCC-Moderate proven</w:t>
      </w:r>
      <w:r>
        <w:rPr>
          <w:rFonts w:ascii="Cambria" w:cs="Cambria" w:eastAsia="Cambria" w:hAnsi="Cambria"/>
          <w:b w:val="false"/>
          <w:bCs w:val="false"/>
          <w:i w:val="false"/>
          <w:iCs w:val="false"/>
          <w:strike w:val="false"/>
          <w:color w:val="000000"/>
          <w:sz w:val="22"/>
          <w:szCs w:val="22"/>
        </w:rPr>
        <w:t xml:space="preserve"> — extensionAttribute1-15 have been GA in GCC-Moderate since the introduction of Exchange Online in government cloud. No preview risk.</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Operational transparency</w:t>
      </w:r>
      <w:r>
        <w:rPr>
          <w:rFonts w:ascii="Cambria" w:cs="Cambria" w:eastAsia="Cambria" w:hAnsi="Cambria"/>
          <w:b w:val="false"/>
          <w:bCs w:val="false"/>
          <w:i w:val="false"/>
          <w:iCs w:val="false"/>
          <w:strike w:val="false"/>
          <w:color w:val="000000"/>
          <w:sz w:val="22"/>
          <w:szCs w:val="22"/>
        </w:rPr>
        <w:t xml:space="preserve"> — dynamic group rules using extensionAttribute1 are human-readable in the Entra portal, Graph API responses, and PowerShell output. No GUID decoding required.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Entra Connect native</w:t>
      </w:r>
      <w:r>
        <w:rPr>
          <w:rFonts w:ascii="Cambria" w:cs="Cambria" w:eastAsia="Cambria" w:hAnsi="Cambria"/>
          <w:b w:val="false"/>
          <w:bCs w:val="false"/>
          <w:i w:val="false"/>
          <w:iCs w:val="false"/>
          <w:strike w:val="false"/>
          <w:color w:val="000000"/>
          <w:sz w:val="22"/>
          <w:szCs w:val="22"/>
        </w:rPr>
        <w:t xml:space="preserve"> — for hybrid identity scenarios, extensionAttribute1 syncs natively from on-premises AD without additional configuration beyond standard attribute flow rules.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SCuBA alignment</w:t>
      </w:r>
      <w:r>
        <w:rPr>
          <w:rFonts w:ascii="Cambria" w:cs="Cambria" w:eastAsia="Cambria" w:hAnsi="Cambria"/>
          <w:b w:val="false"/>
          <w:bCs w:val="false"/>
          <w:i w:val="false"/>
          <w:iCs w:val="false"/>
          <w:strike w:val="false"/>
          <w:color w:val="000000"/>
          <w:sz w:val="22"/>
          <w:szCs w:val="22"/>
        </w:rPr>
        <w:t xml:space="preserve"> — ScubaGear queries user attributes via Microsoft Graph. extensionAttribute1 is a standard property on the user resource type, requiring no special API permissions beyond User.Read.All.</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Deterministic single source</w:t>
      </w:r>
      <w:r>
        <w:rPr>
          <w:rFonts w:ascii="Cambria" w:cs="Cambria" w:eastAsia="Cambria" w:hAnsi="Cambria"/>
          <w:b w:val="false"/>
          <w:bCs w:val="false"/>
          <w:i w:val="false"/>
          <w:iCs w:val="false"/>
          <w:strike w:val="false"/>
          <w:color w:val="000000"/>
          <w:sz w:val="22"/>
          <w:szCs w:val="22"/>
        </w:rPr>
        <w:t xml:space="preserve"> — one attribute, one location, one canonical value. No fan-out to secondary stores eliminates drift vectors between the OrgPath source and its consumers.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Precedent and stability</w:t>
      </w:r>
      <w:r>
        <w:rPr>
          <w:rFonts w:ascii="Cambria" w:cs="Cambria" w:eastAsia="Cambria" w:hAnsi="Cambria"/>
          <w:b w:val="false"/>
          <w:bCs w:val="false"/>
          <w:i w:val="false"/>
          <w:iCs w:val="false"/>
          <w:strike w:val="false"/>
          <w:color w:val="000000"/>
          <w:sz w:val="22"/>
          <w:szCs w:val="22"/>
        </w:rPr>
        <w:t xml:space="preserve"> — extensionAttribute1-15 have existed since Exchange 2003 schema extensions. They are among the most stable, well-understood attributes in the Microsoft identity ecosystem.</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10. Consequences</w:t>
      </w:r>
    </w:p>
    <w:p>
      <w:pPr>
        <w:pStyle w:val="Heading3"/>
        <w:spacing w:after="120" w:before="280" w:line="312" w:lineRule="auto"/>
      </w:pPr>
      <w:r>
        <w:rPr>
          <w:rFonts w:ascii="Cambria" w:cs="Cambria" w:eastAsia="Cambria" w:hAnsi="Cambria"/>
          <w:color w:val="1B2A4A"/>
          <w:sz w:val="28"/>
          <w:szCs w:val="28"/>
        </w:rPr>
        <w:t xml:space="preserve">Positive Consequences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three blocked specifications (UIAO_031, UIAO_034, UIAO_039) can proceed immediately upon acceptance of this ADR.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Dynamic group rules can reference OrgPath with simple, auditable syntax — no GUID decoding or cross-referencing required.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No additional infrastructure (app registrations, attribute sets) to provision, secure, or maintain.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SCuBA drift detection can query OrgPath as a standard Graph property without specialized API calls or additional permissions.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Delegated administration scoping aligns with existing Entra ID RBAC patterns and does not require custom attribute role assignments.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License automation can parse OrgPath hierarchy segments for tier-based assignment using standard string operations.</w:t>
      </w:r>
    </w:p>
    <w:p>
      <w:pPr>
        <w:pStyle w:val="Heading3"/>
        <w:spacing w:after="120" w:before="280" w:line="312" w:lineRule="auto"/>
      </w:pPr>
      <w:r>
        <w:rPr>
          <w:rFonts w:ascii="Cambria" w:cs="Cambria" w:eastAsia="Cambria" w:hAnsi="Cambria"/>
          <w:color w:val="1B2A4A"/>
          <w:sz w:val="28"/>
          <w:szCs w:val="28"/>
        </w:rPr>
        <w:t xml:space="preserve">Negative Consequences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extensionAttribute1 is consumed</w:t>
      </w:r>
      <w:r>
        <w:rPr>
          <w:rFonts w:ascii="Cambria" w:cs="Cambria" w:eastAsia="Cambria" w:hAnsi="Cambria"/>
          <w:b w:val="false"/>
          <w:bCs w:val="false"/>
          <w:i w:val="false"/>
          <w:iCs w:val="false"/>
          <w:strike w:val="false"/>
          <w:color w:val="000000"/>
          <w:sz w:val="22"/>
          <w:szCs w:val="22"/>
        </w:rPr>
        <w:t xml:space="preserve"> — reduces the pool of available exchange extension attributes to 14 for other organizational uses. This reservation must be documented in the tenant attribute registry.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String-only type</w:t>
      </w:r>
      <w:r>
        <w:rPr>
          <w:rFonts w:ascii="Cambria" w:cs="Cambria" w:eastAsia="Cambria" w:hAnsi="Cambria"/>
          <w:b w:val="false"/>
          <w:bCs w:val="false"/>
          <w:i w:val="false"/>
          <w:iCs w:val="false"/>
          <w:strike w:val="false"/>
          <w:color w:val="000000"/>
          <w:sz w:val="22"/>
          <w:szCs w:val="22"/>
        </w:rPr>
        <w:t xml:space="preserve"> — no native type enforcement. OrgPath format validation must be enforced at the write pipeline, not by the attribute store.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Shared write surface</w:t>
      </w:r>
      <w:r>
        <w:rPr>
          <w:rFonts w:ascii="Cambria" w:cs="Cambria" w:eastAsia="Cambria" w:hAnsi="Cambria"/>
          <w:b w:val="false"/>
          <w:bCs w:val="false"/>
          <w:i w:val="false"/>
          <w:iCs w:val="false"/>
          <w:strike w:val="false"/>
          <w:color w:val="000000"/>
          <w:sz w:val="22"/>
          <w:szCs w:val="22"/>
        </w:rPr>
        <w:t xml:space="preserve"> — any identity with User.ReadWrite.All or directory write permissions can modify extensionAttribute1. Write-access governance must be enforced via SCuBA drift detection and pipeline-only write policies.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No built-in versioning</w:t>
      </w:r>
      <w:r>
        <w:rPr>
          <w:rFonts w:ascii="Cambria" w:cs="Cambria" w:eastAsia="Cambria" w:hAnsi="Cambria"/>
          <w:b w:val="false"/>
          <w:bCs w:val="false"/>
          <w:i w:val="false"/>
          <w:iCs w:val="false"/>
          <w:strike w:val="false"/>
          <w:color w:val="000000"/>
          <w:sz w:val="22"/>
          <w:szCs w:val="22"/>
        </w:rPr>
        <w:t xml:space="preserve"> — attribute value changes are not versioned by Entra ID. Audit log captures change events but not a full change history. UIAO must maintain its own OrgPath change ledger if version history is required.</w:t>
      </w:r>
    </w:p>
    <w:p>
      <w:pPr>
        <w:pStyle w:val="Heading3"/>
        <w:spacing w:after="120" w:before="280" w:line="312" w:lineRule="auto"/>
      </w:pPr>
      <w:r>
        <w:rPr>
          <w:rFonts w:ascii="Cambria" w:cs="Cambria" w:eastAsia="Cambria" w:hAnsi="Cambria"/>
          <w:color w:val="1B2A4A"/>
          <w:sz w:val="28"/>
          <w:szCs w:val="28"/>
        </w:rPr>
        <w:t xml:space="preserve">Risks and Mitigations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Risk</w:t>
            </w:r>
          </w:p>
        </w:tc>
        <w:tc>
          <w:tcPr>
            <w:tcW w:type="pct" w:w="1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Impact</w:t>
            </w:r>
          </w:p>
        </w:tc>
        <w:tc>
          <w:tcPr>
            <w:tcW w:type="pct" w:w="59%"/>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Mitigation</w:t>
            </w:r>
          </w:p>
        </w:tc>
      </w:tr>
      <w:tr>
        <w:trPr>
          <w:tblHeader w:val="false"/>
        </w:trPr>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collision (another team uses extensionAttribute1)</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High</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Publish tenant attribute registry; enforce via governance policy and SCuBA drift rule that alerts on non-OrgPath values.</w:t>
            </w:r>
          </w:p>
        </w:tc>
      </w:tr>
      <w:tr>
        <w:trPr>
          <w:tblHeader w:val="false"/>
        </w:trPr>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Unauthorized OrgPath modification</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High</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Restrict write permissions to automation service principals; SCuBA monitors for unexpected changes via audit log correlation.</w:t>
            </w:r>
          </w:p>
        </w:tc>
      </w:tr>
      <w:tr>
        <w:trPr>
          <w:tblHeader w:val="false"/>
        </w:trPr>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OrgPath format corruption</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Medium</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Validate OrgPath syntax at write pipeline; reject malformed values before Graph API call. SCuBA detects format violations post-write.</w:t>
            </w:r>
          </w:p>
        </w:tc>
      </w:tr>
      <w:tr>
        <w:trPr>
          <w:tblHeader w:val="false"/>
        </w:trPr>
        <w:tc>
          <w:tcPr>
            <w:tcW w:type="pct" w:w="31%"/>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Attribute capacity exhaustion (all 15 consumed)</w:t>
            </w:r>
          </w:p>
        </w:tc>
        <w:tc>
          <w:tcPr>
            <w:tcW w:type="pct" w:w="1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Low</w:t>
            </w:r>
          </w:p>
        </w:tc>
        <w:tc>
          <w:tcPr>
            <w:tcW w:type="pct" w:w="5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Monitor attribute utilization; migrate low-value attributes to directory extensions if needed to free slots.</w:t>
            </w:r>
          </w:p>
        </w:tc>
      </w:tr>
    </w:tbl>
    <w:p>
      <w:pPr>
        <w:spacing w:after="200" w:before="0"/>
      </w:pP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11. Implementation Notes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Tenant Attribute Registry</w:t>
      </w:r>
      <w:r>
        <w:rPr>
          <w:rFonts w:ascii="Cambria" w:cs="Cambria" w:eastAsia="Cambria" w:hAnsi="Cambria"/>
          <w:b w:val="false"/>
          <w:bCs w:val="false"/>
          <w:i w:val="false"/>
          <w:iCs w:val="false"/>
          <w:strike w:val="false"/>
          <w:color w:val="000000"/>
          <w:sz w:val="22"/>
          <w:szCs w:val="22"/>
        </w:rPr>
        <w:t xml:space="preserve"> — Create and maintain a canonical registry (UIAO artifact) documenting which extensionAttribute (1–15) is reserved for which purpose. extensionAttribute1 = OrgPath. Publish to the governance corpus and reference from all dependent specifications.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Write Pipeline</w:t>
      </w:r>
      <w:r>
        <w:rPr>
          <w:rFonts w:ascii="Cambria" w:cs="Cambria" w:eastAsia="Cambria" w:hAnsi="Cambria"/>
          <w:b w:val="false"/>
          <w:bCs w:val="false"/>
          <w:i w:val="false"/>
          <w:iCs w:val="false"/>
          <w:strike w:val="false"/>
          <w:color w:val="000000"/>
          <w:sz w:val="22"/>
          <w:szCs w:val="22"/>
        </w:rPr>
        <w:t xml:space="preserve"> — OrgPath values MUST be written exclusively through the UIAO automation pipeline (PowerShell or Graph API service principal). Direct portal edits are prohibited and monitored by SCuBA. The authorized service principal identity must be documented and its credentials managed via certificate-based authentication.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Format Specification</w:t>
      </w:r>
      <w:r>
        <w:rPr>
          <w:rFonts w:ascii="Cambria" w:cs="Cambria" w:eastAsia="Cambria" w:hAnsi="Cambria"/>
          <w:b w:val="false"/>
          <w:bCs w:val="false"/>
          <w:i w:val="false"/>
          <w:iCs w:val="false"/>
          <w:strike w:val="false"/>
          <w:color w:val="000000"/>
          <w:sz w:val="22"/>
          <w:szCs w:val="22"/>
        </w:rPr>
        <w:t xml:space="preserve"> — OrgPath values follow the pattern: </w:t>
      </w:r>
      <w:r>
        <w:rPr>
          <w:rFonts w:ascii="Cambria" w:cs="Cambria" w:eastAsia="Cambria" w:hAnsi="Cambria"/>
          <w:b/>
          <w:bCs/>
          <w:i w:val="false"/>
          <w:iCs w:val="false"/>
          <w:strike w:val="false"/>
          <w:color w:val="000000"/>
          <w:sz w:val="22"/>
          <w:szCs w:val="22"/>
        </w:rPr>
        <w:t xml:space="preserve">UIAO.{Region}.{Division}.{Unit}[.{SubUnit}]</w:t>
      </w:r>
      <w:r>
        <w:rPr>
          <w:rFonts w:ascii="Cambria" w:cs="Cambria" w:eastAsia="Cambria" w:hAnsi="Cambria"/>
          <w:b w:val="false"/>
          <w:bCs w:val="false"/>
          <w:i w:val="false"/>
          <w:iCs w:val="false"/>
          <w:strike w:val="false"/>
          <w:color w:val="000000"/>
          <w:sz w:val="22"/>
          <w:szCs w:val="22"/>
        </w:rPr>
        <w:t xml:space="preserve">. Maximum depth: 5 segments. Maximum length: 256 characters. Regex validation: </w:t>
      </w:r>
      <w:r>
        <w:rPr>
          <w:rFonts w:ascii="Cambria" w:cs="Cambria" w:eastAsia="Cambria" w:hAnsi="Cambria"/>
          <w:b/>
          <w:bCs/>
          <w:i w:val="false"/>
          <w:iCs w:val="false"/>
          <w:strike w:val="false"/>
          <w:color w:val="000000"/>
          <w:sz w:val="22"/>
          <w:szCs w:val="22"/>
        </w:rPr>
        <w:t xml:space="preserve">^UIAO(\.[A-Z0-9-]+){1,4}$</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SCuBA Drift Rule</w:t>
      </w:r>
      <w:r>
        <w:rPr>
          <w:rFonts w:ascii="Cambria" w:cs="Cambria" w:eastAsia="Cambria" w:hAnsi="Cambria"/>
          <w:b w:val="false"/>
          <w:bCs w:val="false"/>
          <w:i w:val="false"/>
          <w:iCs w:val="false"/>
          <w:strike w:val="false"/>
          <w:color w:val="000000"/>
          <w:sz w:val="22"/>
          <w:szCs w:val="22"/>
        </w:rPr>
        <w:t xml:space="preserve"> — Implement a SCuBA drift detection rule that alerts when extensionAttribute1 is modified outside the authorized service principal, or when the value fails OrgPath format validation against the canonical regex pattern.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Dependent Specification Unblock</w:t>
      </w:r>
      <w:r>
        <w:rPr>
          <w:rFonts w:ascii="Cambria" w:cs="Cambria" w:eastAsia="Cambria" w:hAnsi="Cambria"/>
          <w:b w:val="false"/>
          <w:bCs w:val="false"/>
          <w:i w:val="false"/>
          <w:iCs w:val="false"/>
          <w:strike w:val="false"/>
          <w:color w:val="000000"/>
          <w:sz w:val="22"/>
          <w:szCs w:val="22"/>
        </w:rPr>
        <w:t xml:space="preserve"> — Upon acceptance of this ADR, update UIAO_031, UIAO_034, and UIAO_039 to reference ADR-048 and use extensionAttribute1 as the canonical OrgPath source. Each specification should cite this ADR's document ID (UIAO_048) in its dependency block.</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12. References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Microsoft Learn: "Manage rules for dynamic membership groups in Microsoft Entra ID"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Microsoft Learn: "Custom security attributes in Microsoft Entra ID"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Microsoft Learn: "Directory extensions in Microsoft Entra ID"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UIAO_031: Dynamic Group Specification (blocked, pending this ADR)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UIAO_034: Conditional Access Specification (blocked, pending this ADR)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UIAO_039: SCuBA Drift Detection Specification (blocked, pending this ADR)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UIAO Canon: GCC-Moderate boundary definition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UIAO Canon: Commercial Cloud operating boundary</w:t>
      </w:r>
    </w:p>
    <w:p>
      <w:pPr>
        <w:pBdr>
          <w:bottom w:val="single" w:color="000000" w:sz="6"/>
        </w:pBdr>
        <w:spacing w:after="240" w:before="240"/>
      </w:pPr>
    </w:p>
    <w:p>
      <w:pPr>
        <w:pStyle w:val="Heading2"/>
        <w:spacing w:after="120" w:before="480" w:line="312" w:lineRule="auto"/>
      </w:pPr>
      <w:r>
        <w:rPr>
          <w:rFonts w:ascii="Cambria" w:cs="Cambria" w:eastAsia="Cambria" w:hAnsi="Cambria"/>
          <w:color w:val="1B2A4A"/>
          <w:sz w:val="36"/>
          <w:szCs w:val="36"/>
        </w:rPr>
        <w:t xml:space="preserve">13. Approval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Role</w:t>
            </w:r>
          </w:p>
        </w:tc>
        <w:tc>
          <w:tcPr>
            <w:tcW w:type="pct" w:w="3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Name</w:t>
            </w:r>
          </w:p>
        </w:tc>
        <w:tc>
          <w:tcPr>
            <w:tcW w:type="pct" w:w="2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Date</w:t>
            </w:r>
          </w:p>
        </w:tc>
        <w:tc>
          <w:tcPr>
            <w:tcW w:type="pct" w:w="20%"/>
            <w:shd w:fill="E8ECF0" w:color="auto" w:val="clear"/>
            <w:tcMar>
              <w:top w:type="dxa" w:w="90"/>
              <w:left w:type="dxa" w:w="120"/>
              <w:bottom w:type="dxa" w:w="90"/>
              <w:right w:type="dxa" w:w="120"/>
            </w:tcMar>
          </w:tcPr>
          <w:p>
            <w:r>
              <w:rPr>
                <w:rFonts w:ascii="Cambria" w:cs="Cambria" w:eastAsia="Cambria" w:hAnsi="Cambria"/>
                <w:b/>
                <w:bCs/>
                <w:i w:val="false"/>
                <w:iCs w:val="false"/>
                <w:strike w:val="false"/>
                <w:color w:val="1B2A4A"/>
                <w:sz w:val="20"/>
                <w:szCs w:val="20"/>
              </w:rPr>
              <w:t xml:space="preserve">Status</w:t>
            </w:r>
          </w:p>
        </w:tc>
      </w:tr>
      <w:tr>
        <w:trPr>
          <w:tblHeader w:val="false"/>
        </w:trPr>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Canon Steward</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Michael Stratton</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(pending)</w:t>
            </w:r>
          </w:p>
        </w:tc>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PROPOSED</w:t>
            </w:r>
          </w:p>
        </w:tc>
      </w:tr>
      <w:tr>
        <w:trPr>
          <w:tblHeader w:val="false"/>
        </w:trPr>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Governance Board</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(pending)</w:t>
            </w:r>
          </w:p>
        </w:tc>
        <w:tc>
          <w:tcPr>
            <w:tcW w:type="pct" w:w="2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(pending)</w:t>
            </w:r>
          </w:p>
        </w:tc>
        <w:tc>
          <w:tcPr>
            <w:tcW w:type="pct" w:w="20%"/>
            <w:tcMar>
              <w:top w:type="dxa" w:w="90"/>
              <w:left w:type="dxa" w:w="120"/>
              <w:bottom w:type="dxa" w:w="90"/>
              <w:right w:type="dxa" w:w="120"/>
            </w:tcMar>
          </w:tcPr>
          <w:p>
            <w:r>
              <w:rPr>
                <w:rFonts w:ascii="Cambria" w:cs="Cambria" w:eastAsia="Cambria" w:hAnsi="Cambria"/>
                <w:b/>
                <w:bCs/>
                <w:i w:val="false"/>
                <w:iCs w:val="false"/>
                <w:strike w:val="false"/>
                <w:color w:val="000000"/>
                <w:sz w:val="22"/>
                <w:szCs w:val="22"/>
              </w:rPr>
              <w:t xml:space="preserve">PENDING</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Bmbe4Jkv4RbKwYjmdT7ia</dc:title>
  <dc:creator>Un-named</dc:creator>
  <dc:description>Generated document</dc:description>
  <cp:lastModifiedBy>Un-named</cp:lastModifiedBy>
  <cp:revision>1</cp:revision>
  <dcterms:created xsi:type="dcterms:W3CDTF">2026-04-28T23:37:23.010Z</dcterms:created>
  <dcterms:modified xsi:type="dcterms:W3CDTF">2026-04-28T23:37:23.010Z</dcterms:modified>
</cp:coreProperties>
</file>

<file path=docProps/custom.xml><?xml version="1.0" encoding="utf-8"?>
<Properties xmlns="http://schemas.openxmlformats.org/officeDocument/2006/custom-properties" xmlns:vt="http://schemas.openxmlformats.org/officeDocument/2006/docPropsVTypes"/>
</file>