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3A5C"/>
        </w:rPr>
        <w:t>FedRAMP System Security Plan — Full Narrative</w:t>
      </w:r>
    </w:p>
    <w:p>
      <w:pPr>
        <w:spacing w:before="120" w:after="120" w:line="276" w:lineRule="auto"/>
      </w:pPr>
      <w:r>
        <w:rPr>
          <w:rFonts w:ascii="Calibri" w:hAnsi="Calibri"/>
          <w:b/>
          <w:i w:val="0"/>
          <w:sz w:val="22"/>
        </w:rPr>
        <w:t>Classification:</w:t>
      </w:r>
      <w:r>
        <w:rPr>
          <w:rFonts w:ascii="Calibri" w:hAnsi="Calibri"/>
          <w:sz w:val="22"/>
        </w:rPr>
        <w:t xml:space="preserve"> CUI/FOUO </w:t>
      </w:r>
      <w:r>
        <w:rPr>
          <w:rFonts w:ascii="Calibri" w:hAnsi="Calibri"/>
          <w:b/>
          <w:i w:val="0"/>
          <w:sz w:val="22"/>
        </w:rPr>
        <w:t>Version:</w:t>
      </w:r>
      <w:r>
        <w:rPr>
          <w:rFonts w:ascii="Calibri" w:hAnsi="Calibri"/>
          <w:sz w:val="22"/>
        </w:rPr>
        <w:t xml:space="preserve"> 1.0 </w:t>
      </w:r>
      <w:r>
        <w:rPr>
          <w:rFonts w:ascii="Calibri" w:hAnsi="Calibri"/>
          <w:b/>
          <w:i w:val="0"/>
          <w:sz w:val="22"/>
        </w:rPr>
        <w:t>Generated:</w:t>
      </w:r>
      <w:r>
        <w:rPr>
          <w:rFonts w:ascii="Calibri" w:hAnsi="Calibri"/>
          <w:sz w:val="22"/>
        </w:rPr>
        <w:t xml:space="preserve"> Auto-generated</w:t>
      </w:r>
    </w:p>
    <w:p>
      <w:pPr>
        <w:pStyle w:val="Heading2"/>
      </w:pPr>
      <w:r>
        <w:rPr>
          <w:color w:val="1B3A5C"/>
        </w:rPr>
        <w:t>2. Authorization Boundary</w:t>
      </w:r>
    </w:p>
    <w:p>
      <w:pPr>
        <w:pStyle w:val="Heading3"/>
      </w:pPr>
      <w:r>
        <w:rPr>
          <w:color w:val="1B3A5C"/>
        </w:rPr>
        <w:t>2.1 Boundary Overview</w:t>
      </w:r>
    </w:p>
    <w:p>
      <w:pPr>
        <w:spacing w:before="120" w:after="120" w:line="276" w:lineRule="auto"/>
      </w:pPr>
      <w:r>
        <w:rPr>
          <w:rFonts w:ascii="Calibri" w:hAnsi="Calibri"/>
          <w:sz w:val="22"/>
        </w:rPr>
        <w:t>The UIAO authorization boundary encompasses all components that process, store, or transmit federal information as part of the modernization program. The boundary is defined by the five control planes and the services they govern.</w:t>
      </w:r>
    </w:p>
    <w:p>
      <w:pPr>
        <w:pStyle w:val="Heading3"/>
      </w:pPr>
      <w:r>
        <w:rPr>
          <w:color w:val="1B3A5C"/>
        </w:rPr>
        <w:t>2.2 Control Planes in Boundary</w:t>
      </w:r>
    </w:p>
    <w:p>
      <w:pPr>
        <w:spacing w:before="120" w:after="120" w:line="276" w:lineRule="auto"/>
      </w:pPr>
      <w:r>
        <w:rPr>
          <w:rFonts w:ascii="Calibri" w:hAnsi="Calibri"/>
          <w:sz w:val="22"/>
        </w:rPr>
        <w:t xml:space="preserve">- </w:t>
      </w:r>
      <w:r>
        <w:rPr>
          <w:rFonts w:ascii="Calibri" w:hAnsi="Calibri"/>
          <w:b/>
          <w:i w:val="0"/>
          <w:sz w:val="22"/>
        </w:rPr>
        <w:t>identity:</w:t>
      </w:r>
      <w:r>
        <w:rPr>
          <w:rFonts w:ascii="Calibri" w:hAnsi="Calibri"/>
          <w:sz w:val="22"/>
        </w:rPr>
        <w:t xml:space="preserve"> Manages user and device identity, authentication, and access control across the UIAO architecture.</w:t>
      </w:r>
    </w:p>
    <w:p>
      <w:pPr>
        <w:spacing w:before="120" w:after="120" w:line="276" w:lineRule="auto"/>
      </w:pPr>
      <w:r>
        <w:rPr>
          <w:rFonts w:ascii="Calibri" w:hAnsi="Calibri"/>
          <w:sz w:val="22"/>
        </w:rPr>
        <w:t xml:space="preserve">- </w:t>
      </w:r>
      <w:r>
        <w:rPr>
          <w:rFonts w:ascii="Calibri" w:hAnsi="Calibri"/>
          <w:b/>
          <w:i w:val="0"/>
          <w:sz w:val="22"/>
        </w:rPr>
        <w:t>addressing:</w:t>
      </w:r>
      <w:r>
        <w:rPr>
          <w:rFonts w:ascii="Calibri" w:hAnsi="Calibri"/>
          <w:sz w:val="22"/>
        </w:rPr>
        <w:t xml:space="preserve"> Manages IP address space, DNS resolution, and asset tracking across the enterprise network.</w:t>
      </w:r>
    </w:p>
    <w:p>
      <w:pPr>
        <w:spacing w:before="120" w:after="120" w:line="276" w:lineRule="auto"/>
      </w:pPr>
      <w:r>
        <w:rPr>
          <w:rFonts w:ascii="Calibri" w:hAnsi="Calibri"/>
          <w:sz w:val="22"/>
        </w:rPr>
        <w:t xml:space="preserve">- </w:t>
      </w:r>
      <w:r>
        <w:rPr>
          <w:rFonts w:ascii="Calibri" w:hAnsi="Calibri"/>
          <w:b/>
          <w:i w:val="0"/>
          <w:sz w:val="22"/>
        </w:rPr>
        <w:t>overlay:</w:t>
      </w:r>
      <w:r>
        <w:rPr>
          <w:rFonts w:ascii="Calibri" w:hAnsi="Calibri"/>
          <w:sz w:val="22"/>
        </w:rPr>
        <w:t xml:space="preserve"> Provides secure overlay networking, zero-trust network access, and microsegmentation capabilities.</w:t>
      </w:r>
    </w:p>
    <w:p>
      <w:pPr>
        <w:spacing w:before="120" w:after="120" w:line="276" w:lineRule="auto"/>
      </w:pPr>
      <w:r>
        <w:rPr>
          <w:rFonts w:ascii="Calibri" w:hAnsi="Calibri"/>
          <w:sz w:val="22"/>
        </w:rPr>
        <w:t xml:space="preserve">- </w:t>
      </w:r>
      <w:r>
        <w:rPr>
          <w:rFonts w:ascii="Calibri" w:hAnsi="Calibri"/>
          <w:b/>
          <w:i w:val="0"/>
          <w:sz w:val="22"/>
        </w:rPr>
        <w:t>telemetry:</w:t>
      </w:r>
      <w:r>
        <w:rPr>
          <w:rFonts w:ascii="Calibri" w:hAnsi="Calibri"/>
          <w:sz w:val="22"/>
        </w:rPr>
        <w:t xml:space="preserve"> Collects, aggregates, and analyzes security telemetry from all planes to enable continuous monitoring and threat detection.</w:t>
      </w:r>
    </w:p>
    <w:p>
      <w:pPr>
        <w:spacing w:before="120" w:after="120" w:line="276" w:lineRule="auto"/>
      </w:pPr>
      <w:r>
        <w:rPr>
          <w:rFonts w:ascii="Calibri" w:hAnsi="Calibri"/>
          <w:sz w:val="22"/>
        </w:rPr>
        <w:t xml:space="preserve">- </w:t>
      </w:r>
      <w:r>
        <w:rPr>
          <w:rFonts w:ascii="Calibri" w:hAnsi="Calibri"/>
          <w:b/>
          <w:i w:val="0"/>
          <w:sz w:val="22"/>
        </w:rPr>
        <w:t>management:</w:t>
      </w:r>
      <w:r>
        <w:rPr>
          <w:rFonts w:ascii="Calibri" w:hAnsi="Calibri"/>
          <w:sz w:val="22"/>
        </w:rPr>
        <w:t xml:space="preserve"> Orchestrates policy enforcement, automation, and continuous compliance monitoring across all UIAO planes.</w:t>
      </w:r>
    </w:p>
    <w:p>
      <w:pPr>
        <w:spacing w:before="120" w:after="120" w:line="276" w:lineRule="auto"/>
      </w:pPr>
      <w:r>
        <w:rPr>
          <w:rFonts w:ascii="Calibri" w:hAnsi="Calibri"/>
          <w:sz w:val="22"/>
        </w:rPr>
        <w:t xml:space="preserve">- </w:t>
      </w:r>
      <w:r>
        <w:rPr>
          <w:rFonts w:ascii="Calibri" w:hAnsi="Calibri"/>
          <w:b/>
          <w:i w:val="0"/>
          <w:sz w:val="22"/>
        </w:rPr>
        <w:t>network:</w:t>
      </w:r>
      <w:r>
        <w:rPr>
          <w:rFonts w:ascii="Calibri" w:hAnsi="Calibri"/>
          <w:sz w:val="22"/>
        </w:rPr>
        <w:t xml:space="preserve"> Manages physical and virtual network connectivity, routing, and traffic engineering.</w:t>
      </w:r>
    </w:p>
    <w:p>
      <w:pPr>
        <w:spacing w:before="120" w:after="120" w:line="276" w:lineRule="auto"/>
      </w:pPr>
      <w:r>
        <w:rPr>
          <w:rFonts w:ascii="Calibri" w:hAnsi="Calibri"/>
          <w:sz w:val="22"/>
        </w:rPr>
        <w:t xml:space="preserve">- </w:t>
      </w:r>
      <w:r>
        <w:rPr>
          <w:rFonts w:ascii="Calibri" w:hAnsi="Calibri"/>
          <w:b/>
          <w:i w:val="0"/>
          <w:sz w:val="22"/>
        </w:rPr>
        <w:t>endpoint:</w:t>
      </w:r>
    </w:p>
    <w:p>
      <w:pPr>
        <w:pStyle w:val="Heading2"/>
      </w:pPr>
      <w:r>
        <w:rPr>
          <w:color w:val="1B3A5C"/>
        </w:rPr>
        <w:t>4. Security Controls</w:t>
      </w:r>
    </w:p>
    <w:p>
      <w:pPr>
        <w:pStyle w:val="Heading3"/>
      </w:pPr>
      <w:r>
        <w:rPr>
          <w:color w:val="1B3A5C"/>
        </w:rPr>
        <w:t>4.1 Access Control (AC) Family</w:t>
      </w:r>
    </w:p>
    <w:p>
      <w:pPr>
        <w:spacing w:before="120" w:after="120" w:line="276" w:lineRule="auto"/>
      </w:pPr>
      <w:r>
        <w:rPr>
          <w:rFonts w:ascii="Calibri" w:hAnsi="Calibri"/>
          <w:b/>
          <w:i w:val="0"/>
          <w:sz w:val="22"/>
        </w:rPr>
        <w:t>Identity Control Plane:</w:t>
      </w:r>
    </w:p>
    <w:p>
      <w:pPr>
        <w:spacing w:before="120" w:after="120" w:line="276" w:lineRule="auto"/>
      </w:pPr>
      <w:r>
        <w:rPr>
          <w:rFonts w:ascii="Calibri" w:hAnsi="Calibri"/>
          <w:sz w:val="22"/>
        </w:rPr>
        <w:t>The Identity Control Plane is anchored in Entra ID and reinforced by ICAM governance, Conditional Access, Privileged Identity Management, and lifecycle automation. Identity becomes the authoritative source for access, addressing, certificates, and policy.</w:t>
      </w:r>
    </w:p>
    <w:tbl>
      <w:tblPr>
        <w:tblStyle w:val="LightList-Accent1"/>
        <w:tblW w:type="auto" w:w="0"/>
        <w:tblLayout w:type="autofit"/>
        <w:tblLook w:firstColumn="1" w:firstRow="1" w:lastColumn="0" w:lastRow="0" w:noHBand="0" w:noVBand="1" w:val="04A0"/>
      </w:tblPr>
      <w:tblGrid>
        <w:gridCol w:w="3120"/>
        <w:gridCol w:w="3120"/>
        <w:gridCol w:w="3120"/>
      </w:tblGrid>
      <w:tr>
        <w:tc>
          <w:tcPr>
            <w:tcW w:type="dxa" w:w="3120"/>
          </w:tcPr>
          <w:p>
            <w:r>
              <w:rPr>
                <w:b/>
                <w:sz w:val="18"/>
              </w:rPr>
              <w:t>Control ID</w:t>
            </w:r>
          </w:p>
        </w:tc>
        <w:tc>
          <w:tcPr>
            <w:tcW w:type="dxa" w:w="3120"/>
          </w:tcPr>
          <w:p>
            <w:r>
              <w:rPr>
                <w:b/>
                <w:sz w:val="18"/>
              </w:rPr>
              <w:t>Control Name</w:t>
            </w:r>
          </w:p>
        </w:tc>
        <w:tc>
          <w:tcPr>
            <w:tcW w:type="dxa" w:w="3120"/>
          </w:tcPr>
          <w:p>
            <w:r>
              <w:rPr>
                <w:b/>
                <w:sz w:val="18"/>
              </w:rPr>
              <w:t>Implementation Summary</w:t>
            </w:r>
          </w:p>
        </w:tc>
      </w:tr>
      <w:tr>
        <w:tc>
          <w:tcPr>
            <w:tcW w:type="dxa" w:w="3120"/>
          </w:tcPr>
          <w:p>
            <w:r>
              <w:rPr>
                <w:sz w:val="18"/>
              </w:rPr>
              <w:t>AC-1</w:t>
            </w:r>
          </w:p>
        </w:tc>
        <w:tc>
          <w:tcPr>
            <w:tcW w:type="dxa" w:w="3120"/>
          </w:tcPr>
          <w:p>
            <w:r>
              <w:rPr>
                <w:sz w:val="18"/>
              </w:rPr>
              <w:t>Access Control Policy</w:t>
            </w:r>
          </w:p>
        </w:tc>
        <w:tc>
          <w:tcPr>
            <w:tcW w:type="dxa" w:w="3120"/>
          </w:tcPr>
          <w:p>
            <w:r>
              <w:rPr>
                <w:sz w:val="18"/>
              </w:rPr>
              <w:t>Documented in UIAO Access Control Policy; enforced via Entra ID Conditional Access.</w:t>
            </w:r>
          </w:p>
        </w:tc>
      </w:tr>
      <w:tr>
        <w:tc>
          <w:tcPr>
            <w:tcW w:type="dxa" w:w="3120"/>
          </w:tcPr>
          <w:p>
            <w:r>
              <w:rPr>
                <w:sz w:val="18"/>
              </w:rPr>
              <w:t>AC-2</w:t>
            </w:r>
          </w:p>
        </w:tc>
        <w:tc>
          <w:tcPr>
            <w:tcW w:type="dxa" w:w="3120"/>
          </w:tcPr>
          <w:p>
            <w:r>
              <w:rPr>
                <w:sz w:val="18"/>
              </w:rPr>
              <w:t>Account Management</w:t>
            </w:r>
          </w:p>
        </w:tc>
        <w:tc>
          <w:tcPr>
            <w:tcW w:type="dxa" w:w="3120"/>
          </w:tcPr>
          <w:p>
            <w:r>
              <w:rPr>
                <w:sz w:val="18"/>
              </w:rPr>
              <w:t>JML automation via Entra ID and HRIS integration; Privileged Identity Management (PIM) enforced.</w:t>
            </w:r>
          </w:p>
        </w:tc>
      </w:tr>
      <w:tr>
        <w:tc>
          <w:tcPr>
            <w:tcW w:type="dxa" w:w="3120"/>
          </w:tcPr>
          <w:p>
            <w:r>
              <w:rPr>
                <w:sz w:val="18"/>
              </w:rPr>
              <w:t>AC-3</w:t>
            </w:r>
          </w:p>
        </w:tc>
        <w:tc>
          <w:tcPr>
            <w:tcW w:type="dxa" w:w="3120"/>
          </w:tcPr>
          <w:p>
            <w:r>
              <w:rPr>
                <w:sz w:val="18"/>
              </w:rPr>
              <w:t>Access Enforcement</w:t>
            </w:r>
          </w:p>
        </w:tc>
        <w:tc>
          <w:tcPr>
            <w:tcW w:type="dxa" w:w="3120"/>
          </w:tcPr>
          <w:p>
            <w:r>
              <w:rPr>
                <w:sz w:val="18"/>
              </w:rPr>
              <w:t>RBAC + ABAC policies evaluated by Zero Trust Policy Engine per session.</w:t>
            </w:r>
          </w:p>
        </w:tc>
      </w:tr>
      <w:tr>
        <w:tc>
          <w:tcPr>
            <w:tcW w:type="dxa" w:w="3120"/>
          </w:tcPr>
          <w:p>
            <w:r>
              <w:rPr>
                <w:sz w:val="18"/>
              </w:rPr>
              <w:t>AC-4</w:t>
            </w:r>
          </w:p>
        </w:tc>
        <w:tc>
          <w:tcPr>
            <w:tcW w:type="dxa" w:w="3120"/>
          </w:tcPr>
          <w:p>
            <w:r>
              <w:rPr>
                <w:sz w:val="18"/>
              </w:rPr>
              <w:t>Information Flow Enforcement</w:t>
            </w:r>
          </w:p>
        </w:tc>
        <w:tc>
          <w:tcPr>
            <w:tcW w:type="dxa" w:w="3120"/>
          </w:tcPr>
          <w:p>
            <w:r>
              <w:rPr>
                <w:sz w:val="18"/>
              </w:rPr>
              <w:t>Cisco SD-WAN enforces segmentation; mTLS ensures encrypted east-west traffic only.</w:t>
            </w:r>
          </w:p>
        </w:tc>
      </w:tr>
      <w:tr>
        <w:tc>
          <w:tcPr>
            <w:tcW w:type="dxa" w:w="3120"/>
          </w:tcPr>
          <w:p>
            <w:r>
              <w:rPr>
                <w:sz w:val="18"/>
              </w:rPr>
              <w:t>AC-17</w:t>
            </w:r>
          </w:p>
        </w:tc>
        <w:tc>
          <w:tcPr>
            <w:tcW w:type="dxa" w:w="3120"/>
          </w:tcPr>
          <w:p>
            <w:r>
              <w:rPr>
                <w:sz w:val="18"/>
              </w:rPr>
              <w:t>Remote Access</w:t>
            </w:r>
          </w:p>
        </w:tc>
        <w:tc>
          <w:tcPr>
            <w:tcW w:type="dxa" w:w="3120"/>
          </w:tcPr>
          <w:p>
            <w:r>
              <w:rPr>
                <w:sz w:val="18"/>
              </w:rPr>
              <w:t>All remote access traverses UIAO Gateway; no split-tunnel VPN; session telemetry logged.</w:t>
            </w:r>
          </w:p>
        </w:tc>
      </w:tr>
      <w:tr>
        <w:tc>
          <w:tcPr>
            <w:tcW w:type="dxa" w:w="3120"/>
          </w:tcPr>
          <w:p>
            <w:r>
              <w:rPr>
                <w:sz w:val="18"/>
              </w:rPr>
              <w:t>AC-19</w:t>
            </w:r>
          </w:p>
        </w:tc>
        <w:tc>
          <w:tcPr>
            <w:tcW w:type="dxa" w:w="3120"/>
          </w:tcPr>
          <w:p>
            <w:r>
              <w:rPr>
                <w:sz w:val="18"/>
              </w:rPr>
              <w:t>Access Control for Mobile Devices</w:t>
            </w:r>
          </w:p>
        </w:tc>
        <w:tc>
          <w:tcPr>
            <w:tcW w:type="dxa" w:w="3120"/>
          </w:tcPr>
          <w:p>
            <w:r>
              <w:rPr>
                <w:sz w:val="18"/>
              </w:rPr>
              <w:t>Intune MDM enforces device compliance; Conditional Access blocks non-compliant devices.</w:t>
            </w:r>
          </w:p>
        </w:tc>
      </w:tr>
    </w:tbl>
    <w:p>
      <w:pPr>
        <w:pStyle w:val="Heading3"/>
      </w:pPr>
      <w:r>
        <w:rPr>
          <w:color w:val="1B3A5C"/>
        </w:rPr>
        <w:t>4.2 Audit and Accountability (AU) Family</w:t>
      </w:r>
    </w:p>
    <w:tbl>
      <w:tblPr>
        <w:tblStyle w:val="LightList-Accent1"/>
        <w:tblW w:type="auto" w:w="0"/>
        <w:tblLayout w:type="autofit"/>
        <w:tblLook w:firstColumn="1" w:firstRow="1" w:lastColumn="0" w:lastRow="0" w:noHBand="0" w:noVBand="1" w:val="04A0"/>
      </w:tblPr>
      <w:tblGrid>
        <w:gridCol w:w="3120"/>
        <w:gridCol w:w="3120"/>
        <w:gridCol w:w="3120"/>
      </w:tblGrid>
      <w:tr>
        <w:tc>
          <w:tcPr>
            <w:tcW w:type="dxa" w:w="3120"/>
          </w:tcPr>
          <w:p>
            <w:r>
              <w:rPr>
                <w:b/>
                <w:sz w:val="18"/>
              </w:rPr>
              <w:t>Control ID</w:t>
            </w:r>
          </w:p>
        </w:tc>
        <w:tc>
          <w:tcPr>
            <w:tcW w:type="dxa" w:w="3120"/>
          </w:tcPr>
          <w:p>
            <w:r>
              <w:rPr>
                <w:b/>
                <w:sz w:val="18"/>
              </w:rPr>
              <w:t>Control Name</w:t>
            </w:r>
          </w:p>
        </w:tc>
        <w:tc>
          <w:tcPr>
            <w:tcW w:type="dxa" w:w="3120"/>
          </w:tcPr>
          <w:p>
            <w:r>
              <w:rPr>
                <w:b/>
                <w:sz w:val="18"/>
              </w:rPr>
              <w:t>Implementation Summary</w:t>
            </w:r>
          </w:p>
        </w:tc>
      </w:tr>
      <w:tr>
        <w:tc>
          <w:tcPr>
            <w:tcW w:type="dxa" w:w="3120"/>
          </w:tcPr>
          <w:p>
            <w:r>
              <w:rPr>
                <w:sz w:val="18"/>
              </w:rPr>
              <w:t>AU-2</w:t>
            </w:r>
          </w:p>
        </w:tc>
        <w:tc>
          <w:tcPr>
            <w:tcW w:type="dxa" w:w="3120"/>
          </w:tcPr>
          <w:p>
            <w:r>
              <w:rPr>
                <w:sz w:val="18"/>
              </w:rPr>
              <w:t>Event Logging</w:t>
            </w:r>
          </w:p>
        </w:tc>
        <w:tc>
          <w:tcPr>
            <w:tcW w:type="dxa" w:w="3120"/>
          </w:tcPr>
          <w:p>
            <w:r>
              <w:rPr>
                <w:sz w:val="18"/>
              </w:rPr>
              <w:t>Sign-in logs, CA outcomes, SD-WAN flow records, and DNS query logs are collected.</w:t>
            </w:r>
          </w:p>
        </w:tc>
      </w:tr>
      <w:tr>
        <w:tc>
          <w:tcPr>
            <w:tcW w:type="dxa" w:w="3120"/>
          </w:tcPr>
          <w:p>
            <w:r>
              <w:rPr>
                <w:sz w:val="18"/>
              </w:rPr>
              <w:t>AU-3</w:t>
            </w:r>
          </w:p>
        </w:tc>
        <w:tc>
          <w:tcPr>
            <w:tcW w:type="dxa" w:w="3120"/>
          </w:tcPr>
          <w:p>
            <w:r>
              <w:rPr>
                <w:sz w:val="18"/>
              </w:rPr>
              <w:t>Content of Audit Records</w:t>
            </w:r>
          </w:p>
        </w:tc>
        <w:tc>
          <w:tcPr>
            <w:tcW w:type="dxa" w:w="3120"/>
          </w:tcPr>
          <w:p>
            <w:r>
              <w:rPr>
                <w:sz w:val="18"/>
              </w:rPr>
              <w:t>Logs include timestamp, user identity, source IP, resource accessed, and outcome.</w:t>
            </w:r>
          </w:p>
        </w:tc>
      </w:tr>
      <w:tr>
        <w:tc>
          <w:tcPr>
            <w:tcW w:type="dxa" w:w="3120"/>
          </w:tcPr>
          <w:p>
            <w:r>
              <w:rPr>
                <w:sz w:val="18"/>
              </w:rPr>
              <w:t>AU-6</w:t>
            </w:r>
          </w:p>
        </w:tc>
        <w:tc>
          <w:tcPr>
            <w:tcW w:type="dxa" w:w="3120"/>
          </w:tcPr>
          <w:p>
            <w:r>
              <w:rPr>
                <w:sz w:val="18"/>
              </w:rPr>
              <w:t>Audit Record Review</w:t>
            </w:r>
          </w:p>
        </w:tc>
        <w:tc>
          <w:tcPr>
            <w:tcW w:type="dxa" w:w="3120"/>
          </w:tcPr>
          <w:p>
            <w:r>
              <w:rPr>
                <w:sz w:val="18"/>
              </w:rPr>
              <w:t>Microsoft Sentinel analytics rules provide automated alerting and SIEM review workflows.</w:t>
            </w:r>
          </w:p>
        </w:tc>
      </w:tr>
      <w:tr>
        <w:tc>
          <w:tcPr>
            <w:tcW w:type="dxa" w:w="3120"/>
          </w:tcPr>
          <w:p>
            <w:r>
              <w:rPr>
                <w:sz w:val="18"/>
              </w:rPr>
              <w:t>AU-9</w:t>
            </w:r>
          </w:p>
        </w:tc>
        <w:tc>
          <w:tcPr>
            <w:tcW w:type="dxa" w:w="3120"/>
          </w:tcPr>
          <w:p>
            <w:r>
              <w:rPr>
                <w:sz w:val="18"/>
              </w:rPr>
              <w:t>Protection of Audit Information</w:t>
            </w:r>
          </w:p>
        </w:tc>
        <w:tc>
          <w:tcPr>
            <w:tcW w:type="dxa" w:w="3120"/>
          </w:tcPr>
          <w:p>
            <w:r>
              <w:rPr>
                <w:sz w:val="18"/>
              </w:rPr>
              <w:t>Audit logs written to immutable storage; RBAC limits access to log readers only.</w:t>
            </w:r>
          </w:p>
        </w:tc>
      </w:tr>
      <w:tr>
        <w:tc>
          <w:tcPr>
            <w:tcW w:type="dxa" w:w="3120"/>
          </w:tcPr>
          <w:p>
            <w:r>
              <w:rPr>
                <w:sz w:val="18"/>
              </w:rPr>
              <w:t>AU-12</w:t>
            </w:r>
          </w:p>
        </w:tc>
        <w:tc>
          <w:tcPr>
            <w:tcW w:type="dxa" w:w="3120"/>
          </w:tcPr>
          <w:p>
            <w:r>
              <w:rPr>
                <w:sz w:val="18"/>
              </w:rPr>
              <w:t>Audit Record Generation</w:t>
            </w:r>
          </w:p>
        </w:tc>
        <w:tc>
          <w:tcPr>
            <w:tcW w:type="dxa" w:w="3120"/>
          </w:tcPr>
          <w:p>
            <w:r>
              <w:rPr>
                <w:sz w:val="18"/>
              </w:rPr>
              <w:t>All five control planes generate audit records; centralized via Log Analytics Workspace.</w:t>
            </w:r>
          </w:p>
        </w:tc>
      </w:tr>
    </w:tbl>
    <w:p>
      <w:pPr>
        <w:pStyle w:val="Heading3"/>
      </w:pPr>
      <w:r>
        <w:rPr>
          <w:color w:val="1B3A5C"/>
        </w:rPr>
        <w:t>4.3 Identification and Authentication (IA) Family</w:t>
      </w:r>
    </w:p>
    <w:p>
      <w:pPr>
        <w:spacing w:before="120" w:after="120" w:line="276" w:lineRule="auto"/>
      </w:pPr>
      <w:r>
        <w:rPr>
          <w:rFonts w:ascii="Calibri" w:hAnsi="Calibri"/>
          <w:b/>
          <w:i w:val="0"/>
          <w:sz w:val="22"/>
        </w:rPr>
        <w:t>Identity as the Root Namespace:</w:t>
      </w:r>
    </w:p>
    <w:p>
      <w:pPr>
        <w:spacing w:before="120" w:after="120" w:line="276" w:lineRule="auto"/>
      </w:pPr>
      <w:r>
        <w:rPr>
          <w:rFonts w:ascii="Calibri" w:hAnsi="Calibri"/>
          <w:sz w:val="22"/>
        </w:rPr>
        <w:t>Identity becomes the root namespace for all resources, ensuring that every IP address, certificate, subnet, policy, and telemetry event is derived from or bound to identity.</w:t>
      </w:r>
    </w:p>
    <w:tbl>
      <w:tblPr>
        <w:tblStyle w:val="LightList-Accent1"/>
        <w:tblW w:type="auto" w:w="0"/>
        <w:tblLayout w:type="autofit"/>
        <w:tblLook w:firstColumn="1" w:firstRow="1" w:lastColumn="0" w:lastRow="0" w:noHBand="0" w:noVBand="1" w:val="04A0"/>
      </w:tblPr>
      <w:tblGrid>
        <w:gridCol w:w="3120"/>
        <w:gridCol w:w="3120"/>
        <w:gridCol w:w="3120"/>
      </w:tblGrid>
      <w:tr>
        <w:tc>
          <w:tcPr>
            <w:tcW w:type="dxa" w:w="3120"/>
          </w:tcPr>
          <w:p>
            <w:r>
              <w:rPr>
                <w:b/>
                <w:sz w:val="18"/>
              </w:rPr>
              <w:t>Control ID</w:t>
            </w:r>
          </w:p>
        </w:tc>
        <w:tc>
          <w:tcPr>
            <w:tcW w:type="dxa" w:w="3120"/>
          </w:tcPr>
          <w:p>
            <w:r>
              <w:rPr>
                <w:b/>
                <w:sz w:val="18"/>
              </w:rPr>
              <w:t>Control Name</w:t>
            </w:r>
          </w:p>
        </w:tc>
        <w:tc>
          <w:tcPr>
            <w:tcW w:type="dxa" w:w="3120"/>
          </w:tcPr>
          <w:p>
            <w:r>
              <w:rPr>
                <w:b/>
                <w:sz w:val="18"/>
              </w:rPr>
              <w:t>Implementation Summary</w:t>
            </w:r>
          </w:p>
        </w:tc>
      </w:tr>
      <w:tr>
        <w:tc>
          <w:tcPr>
            <w:tcW w:type="dxa" w:w="3120"/>
          </w:tcPr>
          <w:p>
            <w:r>
              <w:rPr>
                <w:sz w:val="18"/>
              </w:rPr>
              <w:t>IA-2</w:t>
            </w:r>
          </w:p>
        </w:tc>
        <w:tc>
          <w:tcPr>
            <w:tcW w:type="dxa" w:w="3120"/>
          </w:tcPr>
          <w:p>
            <w:r>
              <w:rPr>
                <w:sz w:val="18"/>
              </w:rPr>
              <w:t>Identification and Authentication</w:t>
            </w:r>
          </w:p>
        </w:tc>
        <w:tc>
          <w:tcPr>
            <w:tcW w:type="dxa" w:w="3120"/>
          </w:tcPr>
          <w:p>
            <w:r>
              <w:rPr>
                <w:sz w:val="18"/>
              </w:rPr>
              <w:t>PIV/CAC required for all privileged access; FIDO2 for standard users; MFA enforced.</w:t>
            </w:r>
          </w:p>
        </w:tc>
      </w:tr>
      <w:tr>
        <w:tc>
          <w:tcPr>
            <w:tcW w:type="dxa" w:w="3120"/>
          </w:tcPr>
          <w:p>
            <w:r>
              <w:rPr>
                <w:sz w:val="18"/>
              </w:rPr>
              <w:t>IA-3</w:t>
            </w:r>
          </w:p>
        </w:tc>
        <w:tc>
          <w:tcPr>
            <w:tcW w:type="dxa" w:w="3120"/>
          </w:tcPr>
          <w:p>
            <w:r>
              <w:rPr>
                <w:sz w:val="18"/>
              </w:rPr>
              <w:t>Device Identification</w:t>
            </w:r>
          </w:p>
        </w:tc>
        <w:tc>
          <w:tcPr>
            <w:tcW w:type="dxa" w:w="3120"/>
          </w:tcPr>
          <w:p>
            <w:r>
              <w:rPr>
                <w:sz w:val="18"/>
              </w:rPr>
              <w:t>Every device registered in InfoBlox IPAM and Intune; identity-derived IP addressing.</w:t>
            </w:r>
          </w:p>
        </w:tc>
      </w:tr>
      <w:tr>
        <w:tc>
          <w:tcPr>
            <w:tcW w:type="dxa" w:w="3120"/>
          </w:tcPr>
          <w:p>
            <w:r>
              <w:rPr>
                <w:sz w:val="18"/>
              </w:rPr>
              <w:t>IA-5</w:t>
            </w:r>
          </w:p>
        </w:tc>
        <w:tc>
          <w:tcPr>
            <w:tcW w:type="dxa" w:w="3120"/>
          </w:tcPr>
          <w:p>
            <w:r>
              <w:rPr>
                <w:sz w:val="18"/>
              </w:rPr>
              <w:t>Authenticator Management</w:t>
            </w:r>
          </w:p>
        </w:tc>
        <w:tc>
          <w:tcPr>
            <w:tcW w:type="dxa" w:w="3120"/>
          </w:tcPr>
          <w:p>
            <w:r>
              <w:rPr>
                <w:sz w:val="18"/>
              </w:rPr>
              <w:t>PIV lifecycle managed via ICAM governance; SSPR enforced for password-based fallback.</w:t>
            </w:r>
          </w:p>
        </w:tc>
      </w:tr>
      <w:tr>
        <w:tc>
          <w:tcPr>
            <w:tcW w:type="dxa" w:w="3120"/>
          </w:tcPr>
          <w:p>
            <w:r>
              <w:rPr>
                <w:sz w:val="18"/>
              </w:rPr>
              <w:t>IA-8</w:t>
            </w:r>
          </w:p>
        </w:tc>
        <w:tc>
          <w:tcPr>
            <w:tcW w:type="dxa" w:w="3120"/>
          </w:tcPr>
          <w:p>
            <w:r>
              <w:rPr>
                <w:sz w:val="18"/>
              </w:rPr>
              <w:t>Non-Organizational Users</w:t>
            </w:r>
          </w:p>
        </w:tc>
        <w:tc>
          <w:tcPr>
            <w:tcW w:type="dxa" w:w="3120"/>
          </w:tcPr>
          <w:p>
            <w:r>
              <w:rPr>
                <w:sz w:val="18"/>
              </w:rPr>
              <w:t>External contractor access governed by Entra External ID; reviewed quarterly.</w:t>
            </w:r>
          </w:p>
        </w:tc>
      </w:tr>
    </w:tbl>
    <w:p>
      <w:pPr>
        <w:pStyle w:val="Heading3"/>
      </w:pPr>
      <w:r>
        <w:rPr>
          <w:color w:val="1B3A5C"/>
        </w:rPr>
        <w:t>4.4 System and Communications Protection (SC) Family</w:t>
      </w:r>
    </w:p>
    <w:tbl>
      <w:tblPr>
        <w:tblStyle w:val="LightList-Accent1"/>
        <w:tblW w:type="auto" w:w="0"/>
        <w:tblLayout w:type="autofit"/>
        <w:tblLook w:firstColumn="1" w:firstRow="1" w:lastColumn="0" w:lastRow="0" w:noHBand="0" w:noVBand="1" w:val="04A0"/>
      </w:tblPr>
      <w:tblGrid>
        <w:gridCol w:w="3120"/>
        <w:gridCol w:w="3120"/>
        <w:gridCol w:w="3120"/>
      </w:tblGrid>
      <w:tr>
        <w:tc>
          <w:tcPr>
            <w:tcW w:type="dxa" w:w="3120"/>
          </w:tcPr>
          <w:p>
            <w:r>
              <w:rPr>
                <w:b/>
                <w:sz w:val="18"/>
              </w:rPr>
              <w:t>Control ID</w:t>
            </w:r>
          </w:p>
        </w:tc>
        <w:tc>
          <w:tcPr>
            <w:tcW w:type="dxa" w:w="3120"/>
          </w:tcPr>
          <w:p>
            <w:r>
              <w:rPr>
                <w:b/>
                <w:sz w:val="18"/>
              </w:rPr>
              <w:t>Control Name</w:t>
            </w:r>
          </w:p>
        </w:tc>
        <w:tc>
          <w:tcPr>
            <w:tcW w:type="dxa" w:w="3120"/>
          </w:tcPr>
          <w:p>
            <w:r>
              <w:rPr>
                <w:b/>
                <w:sz w:val="18"/>
              </w:rPr>
              <w:t>Implementation Summary</w:t>
            </w:r>
          </w:p>
        </w:tc>
      </w:tr>
      <w:tr>
        <w:tc>
          <w:tcPr>
            <w:tcW w:type="dxa" w:w="3120"/>
          </w:tcPr>
          <w:p>
            <w:r>
              <w:rPr>
                <w:sz w:val="18"/>
              </w:rPr>
              <w:t>SC-5</w:t>
            </w:r>
          </w:p>
        </w:tc>
        <w:tc>
          <w:tcPr>
            <w:tcW w:type="dxa" w:w="3120"/>
          </w:tcPr>
          <w:p>
            <w:r>
              <w:rPr>
                <w:sz w:val="18"/>
              </w:rPr>
              <w:t>Denial of Service Protection</w:t>
            </w:r>
          </w:p>
        </w:tc>
        <w:tc>
          <w:tcPr>
            <w:tcW w:type="dxa" w:w="3120"/>
          </w:tcPr>
          <w:p>
            <w:r>
              <w:rPr>
                <w:sz w:val="18"/>
              </w:rPr>
              <w:t>CDN / WAF absorbs volumetric DDoS; SD-WAN provides path diversity and failover.</w:t>
            </w:r>
          </w:p>
        </w:tc>
      </w:tr>
      <w:tr>
        <w:tc>
          <w:tcPr>
            <w:tcW w:type="dxa" w:w="3120"/>
          </w:tcPr>
          <w:p>
            <w:r>
              <w:rPr>
                <w:sz w:val="18"/>
              </w:rPr>
              <w:t>SC-7</w:t>
            </w:r>
          </w:p>
        </w:tc>
        <w:tc>
          <w:tcPr>
            <w:tcW w:type="dxa" w:w="3120"/>
          </w:tcPr>
          <w:p>
            <w:r>
              <w:rPr>
                <w:sz w:val="18"/>
              </w:rPr>
              <w:t>Boundary Protection</w:t>
            </w:r>
          </w:p>
        </w:tc>
        <w:tc>
          <w:tcPr>
            <w:tcW w:type="dxa" w:w="3120"/>
          </w:tcPr>
          <w:p>
            <w:r>
              <w:rPr>
                <w:sz w:val="18"/>
              </w:rPr>
              <w:t>Authorization boundary enforced at UIAO Gateway; micro-segmentation via SD-WAN VPNs.</w:t>
            </w:r>
          </w:p>
        </w:tc>
      </w:tr>
      <w:tr>
        <w:tc>
          <w:tcPr>
            <w:tcW w:type="dxa" w:w="3120"/>
          </w:tcPr>
          <w:p>
            <w:r>
              <w:rPr>
                <w:sz w:val="18"/>
              </w:rPr>
              <w:t>SC-8</w:t>
            </w:r>
          </w:p>
        </w:tc>
        <w:tc>
          <w:tcPr>
            <w:tcW w:type="dxa" w:w="3120"/>
          </w:tcPr>
          <w:p>
            <w:r>
              <w:rPr>
                <w:sz w:val="18"/>
              </w:rPr>
              <w:t>Transmission Confidentiality</w:t>
            </w:r>
          </w:p>
        </w:tc>
        <w:tc>
          <w:tcPr>
            <w:tcW w:type="dxa" w:w="3120"/>
          </w:tcPr>
          <w:p>
            <w:r>
              <w:rPr>
                <w:sz w:val="18"/>
              </w:rPr>
              <w:t>All transit encrypted via mTLS (TLS 1.3 minimum); SD-WAN IPSEC tunnels for WAN.</w:t>
            </w:r>
          </w:p>
        </w:tc>
      </w:tr>
      <w:tr>
        <w:tc>
          <w:tcPr>
            <w:tcW w:type="dxa" w:w="3120"/>
          </w:tcPr>
          <w:p>
            <w:r>
              <w:rPr>
                <w:sz w:val="18"/>
              </w:rPr>
              <w:t>SC-12</w:t>
            </w:r>
          </w:p>
        </w:tc>
        <w:tc>
          <w:tcPr>
            <w:tcW w:type="dxa" w:w="3120"/>
          </w:tcPr>
          <w:p>
            <w:r>
              <w:rPr>
                <w:sz w:val="18"/>
              </w:rPr>
              <w:t>Cryptographic Key Establishment</w:t>
            </w:r>
          </w:p>
        </w:tc>
        <w:tc>
          <w:tcPr>
            <w:tcW w:type="dxa" w:w="3120"/>
          </w:tcPr>
          <w:p>
            <w:r>
              <w:rPr>
                <w:sz w:val="18"/>
              </w:rPr>
              <w:t>PKI anchored to agency FPKI; certificates issued and rotated by CyberArk PAM.</w:t>
            </w:r>
          </w:p>
        </w:tc>
      </w:tr>
      <w:tr>
        <w:tc>
          <w:tcPr>
            <w:tcW w:type="dxa" w:w="3120"/>
          </w:tcPr>
          <w:p>
            <w:r>
              <w:rPr>
                <w:sz w:val="18"/>
              </w:rPr>
              <w:t>SC-20</w:t>
            </w:r>
          </w:p>
        </w:tc>
        <w:tc>
          <w:tcPr>
            <w:tcW w:type="dxa" w:w="3120"/>
          </w:tcPr>
          <w:p>
            <w:r>
              <w:rPr>
                <w:sz w:val="18"/>
              </w:rPr>
              <w:t>Secure Name/Address Resolution</w:t>
            </w:r>
          </w:p>
        </w:tc>
        <w:tc>
          <w:tcPr>
            <w:tcW w:type="dxa" w:w="3120"/>
          </w:tcPr>
          <w:p>
            <w:r>
              <w:rPr>
                <w:sz w:val="18"/>
              </w:rPr>
              <w:t>InfoBlox provides DNSSEC-signed authoritative DNS; split-horizon prevents data exfiltration.</w:t>
            </w:r>
          </w:p>
        </w:tc>
      </w:tr>
      <w:tr>
        <w:tc>
          <w:tcPr>
            <w:tcW w:type="dxa" w:w="3120"/>
          </w:tcPr>
          <w:p>
            <w:r>
              <w:rPr>
                <w:sz w:val="18"/>
              </w:rPr>
              <w:t>SC-28</w:t>
            </w:r>
          </w:p>
        </w:tc>
        <w:tc>
          <w:tcPr>
            <w:tcW w:type="dxa" w:w="3120"/>
          </w:tcPr>
          <w:p>
            <w:r>
              <w:rPr>
                <w:sz w:val="18"/>
              </w:rPr>
              <w:t>Protection of Information at Rest</w:t>
            </w:r>
          </w:p>
        </w:tc>
        <w:tc>
          <w:tcPr>
            <w:tcW w:type="dxa" w:w="3120"/>
          </w:tcPr>
          <w:p>
            <w:r>
              <w:rPr>
                <w:sz w:val="18"/>
              </w:rPr>
              <w:t>All data stores encrypted with AES-256; keys stored in Azure Key Vault.</w:t>
            </w:r>
          </w:p>
        </w:tc>
      </w:tr>
    </w:tbl>
    <w:p>
      <w:pPr>
        <w:pStyle w:val="Heading2"/>
      </w:pPr>
      <w:r>
        <w:rPr>
          <w:color w:val="1B3A5C"/>
        </w:rPr>
        <w:t>6. Incident Response</w:t>
      </w:r>
    </w:p>
    <w:p>
      <w:pPr>
        <w:pStyle w:val="Heading3"/>
      </w:pPr>
      <w:r>
        <w:rPr>
          <w:color w:val="1B3A5C"/>
        </w:rPr>
        <w:t>6.1 Incident Response Overview</w:t>
      </w:r>
    </w:p>
    <w:p>
      <w:pPr>
        <w:spacing w:before="120" w:after="120" w:line="276" w:lineRule="auto"/>
      </w:pPr>
      <w:r>
        <w:rPr>
          <w:rFonts w:ascii="Calibri" w:hAnsi="Calibri"/>
          <w:sz w:val="22"/>
        </w:rPr>
        <w:t>The UIAO incident response capability is automated and integrated with the telemetry pipeline to ensure rapid detection and containment.</w:t>
      </w:r>
    </w:p>
    <w:tbl>
      <w:tblPr>
        <w:tblStyle w:val="LightList-Accent1"/>
        <w:tblW w:type="auto" w:w="0"/>
        <w:tblLayout w:type="autofit"/>
        <w:tblLook w:firstColumn="1" w:firstRow="1" w:lastColumn="0" w:lastRow="0" w:noHBand="0" w:noVBand="1" w:val="04A0"/>
      </w:tblPr>
      <w:tblGrid>
        <w:gridCol w:w="3120"/>
        <w:gridCol w:w="3120"/>
        <w:gridCol w:w="3120"/>
      </w:tblGrid>
      <w:tr>
        <w:tc>
          <w:tcPr>
            <w:tcW w:type="dxa" w:w="3120"/>
          </w:tcPr>
          <w:p>
            <w:r>
              <w:rPr>
                <w:b/>
                <w:sz w:val="18"/>
              </w:rPr>
              <w:t>IR Phase</w:t>
            </w:r>
          </w:p>
        </w:tc>
        <w:tc>
          <w:tcPr>
            <w:tcW w:type="dxa" w:w="3120"/>
          </w:tcPr>
          <w:p>
            <w:r>
              <w:rPr>
                <w:b/>
                <w:sz w:val="18"/>
              </w:rPr>
              <w:t>Capability</w:t>
            </w:r>
          </w:p>
        </w:tc>
        <w:tc>
          <w:tcPr>
            <w:tcW w:type="dxa" w:w="3120"/>
          </w:tcPr>
          <w:p>
            <w:r>
              <w:rPr>
                <w:b/>
                <w:sz w:val="18"/>
              </w:rPr>
              <w:t>Tooling</w:t>
            </w:r>
          </w:p>
        </w:tc>
      </w:tr>
      <w:tr>
        <w:tc>
          <w:tcPr>
            <w:tcW w:type="dxa" w:w="3120"/>
          </w:tcPr>
          <w:p>
            <w:r>
              <w:rPr>
                <w:sz w:val="18"/>
              </w:rPr>
              <w:t>Detection</w:t>
            </w:r>
          </w:p>
        </w:tc>
        <w:tc>
          <w:tcPr>
            <w:tcW w:type="dxa" w:w="3120"/>
          </w:tcPr>
          <w:p>
            <w:r>
              <w:rPr>
                <w:sz w:val="18"/>
              </w:rPr>
              <w:t>Automated alert generation</w:t>
            </w:r>
          </w:p>
        </w:tc>
        <w:tc>
          <w:tcPr>
            <w:tcW w:type="dxa" w:w="3120"/>
          </w:tcPr>
          <w:p>
            <w:r>
              <w:rPr>
                <w:sz w:val="18"/>
              </w:rPr>
              <w:t>Microsoft Sentinel, CDM/CLAW</w:t>
            </w:r>
          </w:p>
        </w:tc>
      </w:tr>
      <w:tr>
        <w:tc>
          <w:tcPr>
            <w:tcW w:type="dxa" w:w="3120"/>
          </w:tcPr>
          <w:p>
            <w:r>
              <w:rPr>
                <w:sz w:val="18"/>
              </w:rPr>
              <w:t>Analysis</w:t>
            </w:r>
          </w:p>
        </w:tc>
        <w:tc>
          <w:tcPr>
            <w:tcW w:type="dxa" w:w="3120"/>
          </w:tcPr>
          <w:p>
            <w:r>
              <w:rPr>
                <w:sz w:val="18"/>
              </w:rPr>
              <w:t>SIEM triage and enrichment</w:t>
            </w:r>
          </w:p>
        </w:tc>
        <w:tc>
          <w:tcPr>
            <w:tcW w:type="dxa" w:w="3120"/>
          </w:tcPr>
          <w:p>
            <w:r>
              <w:rPr>
                <w:sz w:val="18"/>
              </w:rPr>
              <w:t>Sentinel Workbooks, KQL Analytics</w:t>
            </w:r>
          </w:p>
        </w:tc>
      </w:tr>
      <w:tr>
        <w:tc>
          <w:tcPr>
            <w:tcW w:type="dxa" w:w="3120"/>
          </w:tcPr>
          <w:p>
            <w:r>
              <w:rPr>
                <w:sz w:val="18"/>
              </w:rPr>
              <w:t>Containment</w:t>
            </w:r>
          </w:p>
        </w:tc>
        <w:tc>
          <w:tcPr>
            <w:tcW w:type="dxa" w:w="3120"/>
          </w:tcPr>
          <w:p>
            <w:r>
              <w:rPr>
                <w:sz w:val="18"/>
              </w:rPr>
              <w:t>Network quarantine + token revocation</w:t>
            </w:r>
          </w:p>
        </w:tc>
        <w:tc>
          <w:tcPr>
            <w:tcW w:type="dxa" w:w="3120"/>
          </w:tcPr>
          <w:p>
            <w:r>
              <w:rPr>
                <w:sz w:val="18"/>
              </w:rPr>
              <w:t>SD-WAN ACL push, Entra ID CAE</w:t>
            </w:r>
          </w:p>
        </w:tc>
      </w:tr>
      <w:tr>
        <w:tc>
          <w:tcPr>
            <w:tcW w:type="dxa" w:w="3120"/>
          </w:tcPr>
          <w:p>
            <w:r>
              <w:rPr>
                <w:sz w:val="18"/>
              </w:rPr>
              <w:t>Eradication</w:t>
            </w:r>
          </w:p>
        </w:tc>
        <w:tc>
          <w:tcPr>
            <w:tcW w:type="dxa" w:w="3120"/>
          </w:tcPr>
          <w:p>
            <w:r>
              <w:rPr>
                <w:sz w:val="18"/>
              </w:rPr>
              <w:t>Privileged session termination</w:t>
            </w:r>
          </w:p>
        </w:tc>
        <w:tc>
          <w:tcPr>
            <w:tcW w:type="dxa" w:w="3120"/>
          </w:tcPr>
          <w:p>
            <w:r>
              <w:rPr>
                <w:sz w:val="18"/>
              </w:rPr>
              <w:t>CyberArk PAM, Intune Remote Wipe</w:t>
            </w:r>
          </w:p>
        </w:tc>
      </w:tr>
      <w:tr>
        <w:tc>
          <w:tcPr>
            <w:tcW w:type="dxa" w:w="3120"/>
          </w:tcPr>
          <w:p>
            <w:r>
              <w:rPr>
                <w:sz w:val="18"/>
              </w:rPr>
              <w:t>Recovery</w:t>
            </w:r>
          </w:p>
        </w:tc>
        <w:tc>
          <w:tcPr>
            <w:tcW w:type="dxa" w:w="3120"/>
          </w:tcPr>
          <w:p>
            <w:r>
              <w:rPr>
                <w:sz w:val="18"/>
              </w:rPr>
              <w:t>Automated re-provisioning</w:t>
            </w:r>
          </w:p>
        </w:tc>
        <w:tc>
          <w:tcPr>
            <w:tcW w:type="dxa" w:w="3120"/>
          </w:tcPr>
          <w:p>
            <w:r>
              <w:rPr>
                <w:sz w:val="18"/>
              </w:rPr>
              <w:t>JML automation (Entra ID + HRIS)</w:t>
            </w:r>
          </w:p>
        </w:tc>
      </w:tr>
      <w:tr>
        <w:tc>
          <w:tcPr>
            <w:tcW w:type="dxa" w:w="3120"/>
          </w:tcPr>
          <w:p>
            <w:r>
              <w:rPr>
                <w:sz w:val="18"/>
              </w:rPr>
              <w:t>Post-Incident</w:t>
            </w:r>
          </w:p>
        </w:tc>
        <w:tc>
          <w:tcPr>
            <w:tcW w:type="dxa" w:w="3120"/>
          </w:tcPr>
          <w:p>
            <w:r>
              <w:rPr>
                <w:sz w:val="18"/>
              </w:rPr>
              <w:t>Evidence archival to OSCAL</w:t>
            </w:r>
          </w:p>
        </w:tc>
        <w:tc>
          <w:tcPr>
            <w:tcW w:type="dxa" w:w="3120"/>
          </w:tcPr>
          <w:p>
            <w:r>
              <w:rPr>
                <w:sz w:val="18"/>
              </w:rPr>
              <w:t>UIAO-Core evidence pipeline</w:t>
            </w:r>
          </w:p>
        </w:tc>
      </w:tr>
    </w:tbl>
    <w:p>
      <w:pPr>
        <w:pStyle w:val="Heading3"/>
      </w:pPr>
      <w:r>
        <w:rPr>
          <w:color w:val="1B3A5C"/>
        </w:rPr>
        <w:t>6.2 IR Control Implementation</w:t>
      </w:r>
    </w:p>
    <w:tbl>
      <w:tblPr>
        <w:tblStyle w:val="LightList-Accent1"/>
        <w:tblW w:type="auto" w:w="0"/>
        <w:tblLayout w:type="autofit"/>
        <w:tblLook w:firstColumn="1" w:firstRow="1" w:lastColumn="0" w:lastRow="0" w:noHBand="0" w:noVBand="1" w:val="04A0"/>
      </w:tblPr>
      <w:tblGrid>
        <w:gridCol w:w="3120"/>
        <w:gridCol w:w="3120"/>
        <w:gridCol w:w="3120"/>
      </w:tblGrid>
      <w:tr>
        <w:tc>
          <w:tcPr>
            <w:tcW w:type="dxa" w:w="3120"/>
          </w:tcPr>
          <w:p>
            <w:r>
              <w:rPr>
                <w:b/>
                <w:sz w:val="18"/>
              </w:rPr>
              <w:t>Control ID</w:t>
            </w:r>
          </w:p>
        </w:tc>
        <w:tc>
          <w:tcPr>
            <w:tcW w:type="dxa" w:w="3120"/>
          </w:tcPr>
          <w:p>
            <w:r>
              <w:rPr>
                <w:b/>
                <w:sz w:val="18"/>
              </w:rPr>
              <w:t>Control Name</w:t>
            </w:r>
          </w:p>
        </w:tc>
        <w:tc>
          <w:tcPr>
            <w:tcW w:type="dxa" w:w="3120"/>
          </w:tcPr>
          <w:p>
            <w:r>
              <w:rPr>
                <w:b/>
                <w:sz w:val="18"/>
              </w:rPr>
              <w:t>Implementation</w:t>
            </w:r>
          </w:p>
        </w:tc>
      </w:tr>
      <w:tr>
        <w:tc>
          <w:tcPr>
            <w:tcW w:type="dxa" w:w="3120"/>
          </w:tcPr>
          <w:p>
            <w:r>
              <w:rPr>
                <w:sz w:val="18"/>
              </w:rPr>
              <w:t>IR-4</w:t>
            </w:r>
          </w:p>
        </w:tc>
        <w:tc>
          <w:tcPr>
            <w:tcW w:type="dxa" w:w="3120"/>
          </w:tcPr>
          <w:p>
            <w:r>
              <w:rPr>
                <w:sz w:val="18"/>
              </w:rPr>
              <w:t>Incident Handling</w:t>
            </w:r>
          </w:p>
        </w:tc>
        <w:tc>
          <w:tcPr>
            <w:tcW w:type="dxa" w:w="3120"/>
          </w:tcPr>
          <w:p>
            <w:r>
              <w:rPr>
                <w:sz w:val="18"/>
              </w:rPr>
              <w:t>Sentinel incidents mapped to ServiceNow; SLA tracked via POAM pipeline.</w:t>
            </w:r>
          </w:p>
        </w:tc>
      </w:tr>
      <w:tr>
        <w:tc>
          <w:tcPr>
            <w:tcW w:type="dxa" w:w="3120"/>
          </w:tcPr>
          <w:p>
            <w:r>
              <w:rPr>
                <w:sz w:val="18"/>
              </w:rPr>
              <w:t>IR-5</w:t>
            </w:r>
          </w:p>
        </w:tc>
        <w:tc>
          <w:tcPr>
            <w:tcW w:type="dxa" w:w="3120"/>
          </w:tcPr>
          <w:p>
            <w:r>
              <w:rPr>
                <w:sz w:val="18"/>
              </w:rPr>
              <w:t>Incident Monitoring</w:t>
            </w:r>
          </w:p>
        </w:tc>
        <w:tc>
          <w:tcPr>
            <w:tcW w:type="dxa" w:w="3120"/>
          </w:tcPr>
          <w:p>
            <w:r>
              <w:rPr>
                <w:sz w:val="18"/>
              </w:rPr>
              <w:t>24/7 SOC monitoring; automated enrichment via Sentinel analytics.</w:t>
            </w:r>
          </w:p>
        </w:tc>
      </w:tr>
      <w:tr>
        <w:tc>
          <w:tcPr>
            <w:tcW w:type="dxa" w:w="3120"/>
          </w:tcPr>
          <w:p>
            <w:r>
              <w:rPr>
                <w:sz w:val="18"/>
              </w:rPr>
              <w:t>IR-6</w:t>
            </w:r>
          </w:p>
        </w:tc>
        <w:tc>
          <w:tcPr>
            <w:tcW w:type="dxa" w:w="3120"/>
          </w:tcPr>
          <w:p>
            <w:r>
              <w:rPr>
                <w:sz w:val="18"/>
              </w:rPr>
              <w:t>Incident Reporting</w:t>
            </w:r>
          </w:p>
        </w:tc>
        <w:tc>
          <w:tcPr>
            <w:tcW w:type="dxa" w:w="3120"/>
          </w:tcPr>
          <w:p>
            <w:r>
              <w:rPr>
                <w:sz w:val="18"/>
              </w:rPr>
              <w:t>US-CERT reporting within 1 hour; agency CISO notified within 15 minutes.</w:t>
            </w:r>
          </w:p>
        </w:tc>
      </w:tr>
      <w:tr>
        <w:tc>
          <w:tcPr>
            <w:tcW w:type="dxa" w:w="3120"/>
          </w:tcPr>
          <w:p>
            <w:r>
              <w:rPr>
                <w:sz w:val="18"/>
              </w:rPr>
              <w:t>IR-8</w:t>
            </w:r>
          </w:p>
        </w:tc>
        <w:tc>
          <w:tcPr>
            <w:tcW w:type="dxa" w:w="3120"/>
          </w:tcPr>
          <w:p>
            <w:r>
              <w:rPr>
                <w:sz w:val="18"/>
              </w:rPr>
              <w:t>Incident Response Plan</w:t>
            </w:r>
          </w:p>
        </w:tc>
        <w:tc>
          <w:tcPr>
            <w:tcW w:type="dxa" w:w="3120"/>
          </w:tcPr>
          <w:p>
            <w:r>
              <w:rPr>
                <w:sz w:val="18"/>
              </w:rPr>
              <w:t>IR Plan maintained in `docs/`; tested annually and after major incidents.</w:t>
            </w:r>
          </w:p>
        </w:tc>
      </w:tr>
    </w:tbl>
    <w:p>
      <w:pPr>
        <w:pStyle w:val="Heading2"/>
      </w:pPr>
      <w:r>
        <w:rPr>
          <w:color w:val="1B3A5C"/>
        </w:rPr>
        <w:t>8. Appendix: Related Documents</w:t>
      </w:r>
    </w:p>
    <w:p>
      <w:pPr>
        <w:spacing w:before="120" w:after="120" w:line="276" w:lineRule="auto"/>
      </w:pPr>
      <w:r>
        <w:rPr>
          <w:rFonts w:ascii="Calibri" w:hAnsi="Calibri"/>
          <w:sz w:val="22"/>
        </w:rPr>
        <w:t>- `docs/authorization_boundary_v1.0.md` — Detailed boundary architecture - `docs/system_inventory_and_components_v1.0.md` — Component inventory - `docs/zero_trust_narrative_v1.0.md` — Zero Trust implementation narrative - `docs/vendor_stack_v1.0.md` — Vendor registry and compliance status - `exports/oscal/` — Machine-readable OSCAL compliance artifacts</w:t>
      </w:r>
    </w:p>
    <w:p>
      <w:pPr>
        <w:spacing w:after="80"/>
      </w:pPr>
    </w:p>
    <w:p>
      <w:pPr>
        <w:spacing w:before="120" w:after="120" w:line="276" w:lineRule="auto"/>
      </w:pPr>
      <w:r>
        <w:rPr>
          <w:rFonts w:ascii="Calibri" w:hAnsi="Calibri"/>
          <w:b w:val="0"/>
          <w:i/>
          <w:sz w:val="22"/>
        </w:rPr>
        <w:t>Generated by the UIAO-Core Pipeline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4"/>
      </w:rPr>
      <w:t>CUI | UIAO Program | Generated 2026-04-10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6"/>
      </w:rPr>
      <w:t>CUI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24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B3A5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