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B3A5C"/>
        </w:rPr>
        <w:t>Authorization Boundary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Classification:</w:t>
      </w:r>
      <w:r>
        <w:rPr>
          <w:rFonts w:ascii="Calibri" w:hAnsi="Calibri"/>
          <w:sz w:val="22"/>
        </w:rPr>
        <w:t xml:space="preserve"> CUI/FOUO </w:t>
      </w:r>
      <w:r>
        <w:rPr>
          <w:rFonts w:ascii="Calibri" w:hAnsi="Calibri"/>
          <w:b/>
          <w:i w:val="0"/>
          <w:sz w:val="22"/>
        </w:rPr>
        <w:t>Version:</w:t>
      </w:r>
      <w:r>
        <w:rPr>
          <w:rFonts w:ascii="Calibri" w:hAnsi="Calibri"/>
          <w:sz w:val="22"/>
        </w:rPr>
        <w:t xml:space="preserve"> 1.0 </w:t>
      </w:r>
      <w:r>
        <w:rPr>
          <w:rFonts w:ascii="Calibri" w:hAnsi="Calibri"/>
          <w:b/>
          <w:i w:val="0"/>
          <w:sz w:val="22"/>
        </w:rPr>
        <w:t>Generated:</w:t>
      </w:r>
      <w:r>
        <w:rPr>
          <w:rFonts w:ascii="Calibri" w:hAnsi="Calibri"/>
          <w:sz w:val="22"/>
        </w:rPr>
        <w:t xml:space="preserve"> Auto-generated</w:t>
      </w:r>
    </w:p>
    <w:p>
      <w:pPr>
        <w:pStyle w:val="Heading2"/>
      </w:pPr>
      <w:r>
        <w:rPr>
          <w:color w:val="1B3A5C"/>
        </w:rPr>
        <w:t>2. Network Architecture</w:t>
      </w:r>
    </w:p>
    <w:p>
      <w:pPr>
        <w:pStyle w:val="Heading3"/>
      </w:pPr>
      <w:r>
        <w:rPr>
          <w:color w:val="1B3A5C"/>
        </w:rPr>
        <w:t>2.1 High-Level Architecture</w:t>
      </w:r>
    </w:p>
    <w:p>
      <w:pPr>
        <w:pStyle w:val="Heading3"/>
      </w:pPr>
      <w:r>
        <w:rPr>
          <w:color w:val="1B3A5C"/>
        </w:rPr>
        <w:t>2.2 Network Segmentation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The UIAO network is segmented into the following zones: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r>
              <w:rPr>
                <w:b/>
                <w:sz w:val="18"/>
              </w:rPr>
              <w:t>Zone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Description</w:t>
            </w:r>
          </w:p>
        </w:tc>
        <w:tc>
          <w:tcPr>
            <w:tcW w:type="dxa" w:w="3120"/>
          </w:tcPr>
          <w:p>
            <w:r>
              <w:rPr>
                <w:b/>
                <w:sz w:val="18"/>
              </w:rPr>
              <w:t>Controls Applied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External / Untrusted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Internet-facing; no direct system access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CDN, WAF, NGFW filtering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DMZ / Perimeter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Gateway and proxy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TLS termination, API gateway, WAF rules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Identity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IdP and PAM services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Zero Trust Policy Engine, Entra ID CA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Network Fabric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SD-WAN overlay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mTLS encryption, micro-segmentation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Data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Backend services and data stores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Encryption at rest, RBAC, audit logging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Telemetry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SIEM and monitoring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Immutable log storage, restricted write access</w:t>
            </w:r>
          </w:p>
        </w:tc>
      </w:tr>
      <w:tr>
        <w:tc>
          <w:tcPr>
            <w:tcW w:type="dxa" w:w="3120"/>
          </w:tcPr>
          <w:p>
            <w:r>
              <w:rPr>
                <w:sz w:val="18"/>
              </w:rPr>
              <w:t>Management Zone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Orchestration and policy</w:t>
            </w:r>
          </w:p>
        </w:tc>
        <w:tc>
          <w:tcPr>
            <w:tcW w:type="dxa" w:w="3120"/>
          </w:tcPr>
          <w:p>
            <w:r>
              <w:rPr>
                <w:sz w:val="18"/>
              </w:rPr>
              <w:t>Break-glass procedures, session recording</w:t>
            </w:r>
          </w:p>
        </w:tc>
      </w:tr>
    </w:tbl>
    <w:p>
      <w:pPr>
        <w:pStyle w:val="Heading2"/>
      </w:pPr>
      <w:r>
        <w:rPr>
          <w:color w:val="1B3A5C"/>
        </w:rPr>
        <w:t>4. Internal Components</w:t>
      </w:r>
    </w:p>
    <w:p>
      <w:pPr>
        <w:pStyle w:val="Heading3"/>
      </w:pPr>
      <w:r>
        <w:rPr>
          <w:color w:val="1B3A5C"/>
        </w:rPr>
        <w:t>4.1 Component Summary by Plane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#### 4.1.1. identity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user and device identity, authentication, and access control across the UIAO architecture.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Microsoft Entra ID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Primary Identity Provider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ICAM Governance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Identity governance and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Zero Trust 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Continuous access evaluation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4.1.2. addressing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IP address space, DNS resolution, and asset tracking across the enterprise network.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 IPAM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Source of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DNS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Authoritative DNS zones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DHCP Management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Scope governance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Cloud IPAM Reconciliation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Multi-cloud addressing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4.1.3. overlay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Provides secure overlay networking, zero-trust network access, and microsegmentation capabilities.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ZTNA Gateway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SD-WAN Controller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Microsegmentation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4.1.4. telemetry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Collects, aggregates, and analyzes security telemetry from all planes to enable continuous monitoring and threat detection.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Splunk / Sentinel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Aggregation, correlation, compliance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Azure Monitor / CloudWatch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Cloud-native telemetry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ThousandEyes / Riverbed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Network path truth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InfoBlox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DNS/DHCP/IPAM evidence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truth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4.1.5. management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Orchestrates policy enforcement, automation, and continuous compliance monitoring across all UIAO planes.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Policy Engine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ConMon Dashboard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Automation Orchestrator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TBD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4.1.6. network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Manages physical and virtual network connectivity, routing, and traffic engineering.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vManage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Centralized policy engine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vSmart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Control-plane orchestrator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vBond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Secure orchestration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WAN Edge Devices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Enforcement points</w:t>
            </w:r>
          </w:p>
        </w:tc>
      </w:tr>
    </w:tbl>
    <w:p>
      <w:pPr>
        <w:spacing w:before="120" w:after="120" w:line="276" w:lineRule="auto"/>
      </w:pPr>
      <w:r>
        <w:rPr>
          <w:rFonts w:ascii="Calibri" w:hAnsi="Calibri"/>
          <w:sz w:val="22"/>
        </w:rPr>
        <w:t>#### 4.1.7. endpoint</w:t>
      </w:r>
    </w:p>
    <w:p>
      <w:pPr>
        <w:spacing w:before="120" w:after="120" w:line="276" w:lineRule="auto"/>
      </w:pPr>
      <w:r>
        <w:rPr>
          <w:rFonts w:ascii="Calibri" w:hAnsi="Calibri"/>
          <w:b/>
          <w:i w:val="0"/>
          <w:sz w:val="22"/>
        </w:rPr>
        <w:t>Description:</w:t>
      </w:r>
      <w:r>
        <w:rPr>
          <w:rFonts w:ascii="Calibri" w:hAnsi="Calibri"/>
          <w:sz w:val="22"/>
        </w:rPr>
        <w:t xml:space="preserve"> Control plane component.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Component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Role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Defender / MINR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Endpoint detection and response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Intune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Configuration and compliance management</w:t>
            </w:r>
          </w:p>
        </w:tc>
      </w:tr>
    </w:tbl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</w:tcPr>
          <w:p>
            <w:r>
              <w:rPr>
                <w:b/>
                <w:sz w:val="18"/>
              </w:rPr>
              <w:t>Entra ID Device Objects</w:t>
            </w:r>
          </w:p>
        </w:tc>
        <w:tc>
          <w:tcPr>
            <w:tcW w:type="dxa" w:w="4680"/>
          </w:tcPr>
          <w:p>
            <w:r>
              <w:rPr>
                <w:b/>
                <w:sz w:val="18"/>
              </w:rPr>
              <w:t>Device identity anchoring</w:t>
            </w:r>
          </w:p>
        </w:tc>
      </w:tr>
    </w:tbl>
    <w:p>
      <w:pPr>
        <w:pStyle w:val="Heading2"/>
      </w:pPr>
      <w:r>
        <w:rPr>
          <w:color w:val="1B3A5C"/>
        </w:rPr>
        <w:t>6. Ports, Protocols, and Services</w:t>
      </w:r>
    </w:p>
    <w:p>
      <w:pPr>
        <w:pStyle w:val="Heading3"/>
      </w:pPr>
      <w:r>
        <w:rPr>
          <w:color w:val="1B3A5C"/>
        </w:rPr>
        <w:t>6.1 Allowed Inbound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Source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UIAO Gateway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All agency users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Application access (TLS 1.3 required)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Entra ID federation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SSO and SAML assertion delivery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DNS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Internal clients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Name resolution (DNSSEC enforced)</w:t>
            </w:r>
          </w:p>
        </w:tc>
      </w:tr>
    </w:tbl>
    <w:p>
      <w:pPr>
        <w:pStyle w:val="Heading3"/>
      </w:pPr>
      <w:r>
        <w:rPr>
          <w:color w:val="1B3A5C"/>
        </w:rPr>
        <w:t>6.2 Allowed Outbound Ports</w:t>
      </w:r>
    </w:p>
    <w:tbl>
      <w:tblPr>
        <w:tblStyle w:val="LightList-Accent1"/>
        <w:tblW w:type="auto" w:w="0"/>
        <w:tblLayout w:type="autofit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b/>
                <w:sz w:val="18"/>
              </w:rPr>
              <w:t>Port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Protocol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Service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Destination</w:t>
            </w:r>
          </w:p>
        </w:tc>
        <w:tc>
          <w:tcPr>
            <w:tcW w:type="dxa" w:w="1872"/>
          </w:tcPr>
          <w:p>
            <w:r>
              <w:rPr>
                <w:b/>
                <w:sz w:val="18"/>
              </w:rPr>
              <w:t>Justification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Microsoft Sentinel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Azure GovCloud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Log ingestion and SIEM telemetry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BloxOne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InfoBlox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IPAM data synchronization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vManage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Cisco cloud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control plane management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TCP / HTTPS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CDM/CLAW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DHS CDM SaaS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Asset visibility and reporting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500 / 4500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UDP / IKEv2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SD-WAN IPSec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Branch / WAN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Encrypted WAN tunnels</w:t>
            </w:r>
          </w:p>
        </w:tc>
      </w:tr>
    </w:tbl>
    <w:p>
      <w:pPr>
        <w:pStyle w:val="Heading3"/>
      </w:pPr>
      <w:r>
        <w:rPr>
          <w:color w:val="1B3A5C"/>
        </w:rPr>
        <w:t>6.3 Blocked / Denied Traffic</w:t>
      </w:r>
    </w:p>
    <w:p>
      <w:pPr>
        <w:spacing w:before="120" w:after="120" w:line="276" w:lineRule="auto"/>
      </w:pPr>
      <w:r>
        <w:rPr>
          <w:rFonts w:ascii="Calibri" w:hAnsi="Calibri"/>
          <w:sz w:val="22"/>
        </w:rPr>
        <w:t>All traffic not explicitly permitted by the above allowlists is denied at the perimeter firewall and UIAO Gateway. Denied traffic events are logged to Microsoft Sentinel for analysis.</w:t>
      </w:r>
    </w:p>
    <w:p>
      <w:pPr>
        <w:spacing w:before="120" w:after="120" w:line="276" w:lineRule="auto"/>
      </w:pPr>
      <w:r>
        <w:rPr>
          <w:rFonts w:ascii="Calibri" w:hAnsi="Calibri"/>
          <w:b w:val="0"/>
          <w:i/>
          <w:sz w:val="22"/>
        </w:rPr>
        <w:t>Generated by the UIAO-Core Pipeline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4"/>
      </w:rPr>
      <w:t>CUI | UIAO Program | Generated 2026-04-11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b/>
        <w:color w:val="800000"/>
        <w:sz w:val="16"/>
      </w:rPr>
      <w:t>CUI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24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B3A5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B3A5C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