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A5C"/>
        </w:rPr>
        <w:t>UIAO Unified Architecture</w:t>
      </w:r>
    </w:p>
    <w:p>
      <w:pPr>
        <w:spacing w:before="120" w:after="120" w:line="276" w:lineRule="auto"/>
      </w:pPr>
      <w:r>
        <w:rPr>
          <w:rFonts w:ascii="Calibri" w:hAnsi="Calibri"/>
          <w:b/>
          <w:i w:val="0"/>
          <w:sz w:val="22"/>
        </w:rPr>
        <w:t>Version 1.0</w:t>
      </w:r>
    </w:p>
    <w:p>
      <w:pPr>
        <w:pStyle w:val="Heading2"/>
      </w:pPr>
      <w:r>
        <w:rPr>
          <w:color w:val="1B3A5C"/>
        </w:rPr>
        <w:t>2. Four-Plane Architecture Diagram</w:t>
      </w:r>
    </w:p>
    <w:p>
      <w:pPr>
        <w:spacing w:before="120" w:after="120" w:line="276" w:lineRule="auto"/>
      </w:pPr>
      <w:r>
        <w:rPr>
          <w:rFonts w:ascii="Calibri" w:hAnsi="Calibri"/>
          <w:sz w:val="22"/>
        </w:rPr>
        <w:t>The following diagram illustrates the complete UIAO architecture, showing how the Identity, Addressing, Overlay, and Telemetry control planes interconnect through the central Policy Engine.</w:t>
      </w:r>
    </w:p>
    <w:p>
      <w:pPr>
        <w:pStyle w:val="Heading2"/>
      </w:pPr>
      <w:r>
        <w:rPr>
          <w:color w:val="1B3A5C"/>
        </w:rPr>
        <w:t>4. Multi-Plane Integration</w:t>
      </w:r>
    </w:p>
    <w:p>
      <w:pPr>
        <w:spacing w:before="120" w:after="120" w:line="276" w:lineRule="auto"/>
      </w:pPr>
      <w:r>
        <w:rPr>
          <w:rFonts w:ascii="Calibri" w:hAnsi="Calibri"/>
          <w:sz w:val="22"/>
        </w:rPr>
        <w:t>The UIAO architecture achieves its power through deep integration between control planes. The telemetry plane provides closed-loop feedback to all other planes, enabling real-time policy adjustment and continuous compliance validation.</w:t>
      </w:r>
    </w:p>
    <w:p>
      <w:pPr>
        <w:pStyle w:val="Heading2"/>
      </w:pPr>
      <w:r>
        <w:rPr>
          <w:color w:val="1B3A5C"/>
        </w:rPr>
        <w:t>6. Legacy vs. Modernized State</w:t>
      </w:r>
    </w:p>
    <w:p>
      <w:pPr>
        <w:spacing w:before="120" w:after="120" w:line="276" w:lineRule="auto"/>
      </w:pPr>
      <w:r>
        <w:rPr>
          <w:rFonts w:ascii="Calibri" w:hAnsi="Calibri"/>
          <w:sz w:val="22"/>
        </w:rPr>
        <w:t>The following diagram compares the fragmented legacy state with the unified modernized architecture that UIAO delivers.</w:t>
      </w:r>
    </w:p>
    <w:p>
      <w:pPr>
        <w:pStyle w:val="Heading2"/>
      </w:pPr>
      <w:r>
        <w:rPr>
          <w:color w:val="1B3A5C"/>
        </w:rPr>
        <w:t>8. Eight Core Concepts</w:t>
      </w:r>
    </w:p>
    <w:p>
      <w:pPr>
        <w:pStyle w:val="Heading3"/>
      </w:pPr>
      <w:r>
        <w:rPr>
          <w:color w:val="1B3A5C"/>
        </w:rPr>
        <w:t>8.1. Single Source of Truth (SSOT)</w:t>
      </w:r>
    </w:p>
    <w:p>
      <w:pPr>
        <w:spacing w:before="120" w:after="120" w:line="276" w:lineRule="auto"/>
      </w:pPr>
      <w:r>
        <w:rPr>
          <w:rFonts w:ascii="Calibri" w:hAnsi="Calibri"/>
          <w:sz w:val="22"/>
        </w:rPr>
        <w:t>The canonical data repository is the authoritative origin for all architectural definitions. Every document, template, and generated artifact derives its definitions from this single source of truth, ensuring consistency and preventing drift across the architecture.</w:t>
      </w:r>
    </w:p>
    <w:p>
      <w:pPr>
        <w:pStyle w:val="Heading3"/>
      </w:pPr>
      <w:r>
        <w:rPr>
          <w:color w:val="1B3A5C"/>
        </w:rPr>
        <w:t>8.2. Conversation as the Atomic Unit</w:t>
      </w:r>
    </w:p>
    <w:p>
      <w:pPr>
        <w:spacing w:before="120" w:after="120" w:line="276" w:lineRule="auto"/>
      </w:pPr>
      <w:r>
        <w:rPr>
          <w:rFonts w:ascii="Calibri" w:hAnsi="Calibri"/>
          <w:sz w:val="22"/>
        </w:rPr>
        <w:t>Every interaction—identity, certificate, addressing, path, QoS, and telemetry—is treated as a single, correlated conversation rather than isolated events.</w:t>
      </w:r>
    </w:p>
    <w:p>
      <w:pPr>
        <w:pStyle w:val="Heading3"/>
      </w:pPr>
      <w:r>
        <w:rPr>
          <w:color w:val="1B3A5C"/>
        </w:rPr>
        <w:t>8.3. Identity as the Root Namespace</w:t>
      </w:r>
    </w:p>
    <w:p>
      <w:pPr>
        <w:spacing w:before="120" w:after="120" w:line="276" w:lineRule="auto"/>
      </w:pPr>
      <w:r>
        <w:rPr>
          <w:rFonts w:ascii="Calibri" w:hAnsi="Calibri"/>
          <w:sz w:val="22"/>
        </w:rPr>
        <w:t>Identity becomes the root namespace for all resources, ensuring that every IP address, certificate, subnet, policy, and telemetry event is derived from or bound to identity.</w:t>
      </w:r>
    </w:p>
    <w:p>
      <w:pPr>
        <w:pStyle w:val="Heading3"/>
      </w:pPr>
      <w:r>
        <w:rPr>
          <w:color w:val="1B3A5C"/>
        </w:rPr>
        <w:t>8.4. Deterministic Addressing</w:t>
      </w:r>
    </w:p>
    <w:p>
      <w:pPr>
        <w:spacing w:before="120" w:after="120" w:line="276" w:lineRule="auto"/>
      </w:pPr>
      <w:r>
        <w:rPr>
          <w:rFonts w:ascii="Calibri" w:hAnsi="Calibri"/>
          <w:sz w:val="22"/>
        </w:rPr>
        <w:t>Addressing becomes deterministic and policy-driven, replacing ad-hoc assignment with identity-derived logic that enables accurate correlation and automated governance.</w:t>
      </w:r>
    </w:p>
    <w:p>
      <w:pPr>
        <w:pStyle w:val="Heading3"/>
      </w:pPr>
      <w:r>
        <w:rPr>
          <w:color w:val="1B3A5C"/>
        </w:rPr>
        <w:t>8.5. Certificate-Anchored Overlay</w:t>
      </w:r>
    </w:p>
    <w:p>
      <w:pPr>
        <w:spacing w:before="120" w:after="120" w:line="276" w:lineRule="auto"/>
      </w:pPr>
      <w:r>
        <w:rPr>
          <w:rFonts w:ascii="Calibri" w:hAnsi="Calibri"/>
          <w:sz w:val="22"/>
        </w:rPr>
        <w:t>Certificates and mutual TLS anchor tunnels, services, and trust relationships across the enterprise.</w:t>
      </w:r>
    </w:p>
    <w:p>
      <w:pPr>
        <w:pStyle w:val="Heading3"/>
      </w:pPr>
      <w:r>
        <w:rPr>
          <w:color w:val="1B3A5C"/>
        </w:rPr>
        <w:t>8.6. Telemetry as Control</w:t>
      </w:r>
    </w:p>
    <w:p>
      <w:pPr>
        <w:spacing w:before="120" w:after="120" w:line="276" w:lineRule="auto"/>
      </w:pPr>
      <w:r>
        <w:rPr>
          <w:rFonts w:ascii="Calibri" w:hAnsi="Calibri"/>
          <w:sz w:val="22"/>
        </w:rPr>
        <w:t>Telemetry becomes an active control input for routing, security, and compliance decisions rather than a passive reporting mechanism.</w:t>
      </w:r>
    </w:p>
    <w:p>
      <w:pPr>
        <w:pStyle w:val="Heading3"/>
      </w:pPr>
      <w:r>
        <w:rPr>
          <w:color w:val="1B3A5C"/>
        </w:rPr>
        <w:t>8.7. Embedded Governance &amp; Automation</w:t>
      </w:r>
    </w:p>
    <w:p>
      <w:pPr>
        <w:spacing w:before="120" w:after="120" w:line="276" w:lineRule="auto"/>
      </w:pPr>
      <w:r>
        <w:rPr>
          <w:rFonts w:ascii="Calibri" w:hAnsi="Calibri"/>
          <w:sz w:val="22"/>
        </w:rPr>
        <w:t>Governance is executed through orchestrated workflows that enforce policy consistently and reduce operational burden.</w:t>
      </w:r>
    </w:p>
    <w:p>
      <w:pPr>
        <w:pStyle w:val="Heading3"/>
      </w:pPr>
      <w:r>
        <w:rPr>
          <w:color w:val="1B3A5C"/>
        </w:rPr>
        <w:t>8.8. Public Service First</w:t>
      </w:r>
    </w:p>
    <w:p>
      <w:pPr>
        <w:spacing w:before="120" w:after="120" w:line="276" w:lineRule="auto"/>
      </w:pPr>
      <w:r>
        <w:rPr>
          <w:rFonts w:ascii="Calibri" w:hAnsi="Calibri"/>
          <w:sz w:val="22"/>
        </w:rPr>
        <w:t>Citizen experience, accessibility, and privacy remain top-level design constraints.</w:t>
      </w:r>
    </w:p>
    <w:p>
      <w:pPr>
        <w:pStyle w:val="Heading2"/>
      </w:pPr>
      <w:r>
        <w:rPr>
          <w:color w:val="1B3A5C"/>
        </w:rPr>
        <w:t>10. Executive Dashboard Status</w:t>
      </w:r>
    </w:p>
    <w:p>
      <w:pPr>
        <w:spacing w:before="120" w:after="120" w:line="276" w:lineRule="auto"/>
      </w:pPr>
      <w:r>
        <w:rPr>
          <w:rFonts w:ascii="Calibri" w:hAnsi="Calibri"/>
          <w:sz w:val="22"/>
        </w:rPr>
        <w:t>The following diagram provides a real-time view of deployment readiness across all UIAO components.</w:t>
      </w:r>
    </w:p>
    <w:p>
      <w:pPr>
        <w:spacing w:after="80"/>
      </w:pPr>
    </w:p>
    <w:p>
      <w:pPr>
        <w:spacing w:before="120" w:after="120" w:line="276" w:lineRule="auto"/>
      </w:pPr>
      <w:r>
        <w:rPr>
          <w:rFonts w:ascii="Calibri" w:hAnsi="Calibri"/>
          <w:b w:val="0"/>
          <w:i/>
          <w:sz w:val="22"/>
        </w:rPr>
        <w:t>Generated from UIAO data layer — Unified Architecture v1.0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CUI | UIAO Program | Generated 2026-04-11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