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Identity Control Plane Deep Dive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 1.0</w:t>
      </w:r>
    </w:p>
    <w:p>
      <w:pPr>
        <w:pStyle w:val="Heading1"/>
      </w:pPr>
      <w:r>
        <w:rPr>
          <w:color w:val="1B3A5C"/>
        </w:rPr>
        <w:t>Identity as the Root Namespace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Every interaction—identity, certificate, addressing, path, QoS, and telemetry—is treated as a single, correlated conversation rather than isolated events.</w:t>
      </w:r>
    </w:p>
    <w:p>
      <w:pPr>
        <w:pStyle w:val="Heading1"/>
      </w:pPr>
      <w:r>
        <w:rPr>
          <w:color w:val="1B3A5C"/>
        </w:rPr>
        <w:t>Identity‑Driven Outcomes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program has four near-term results that are measurable before the end of Phase 1.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M365 performance improves as soon as TIC 3.0 routing is in place. The pilot site recorded a 47% reduction in Teams call setup latency within the first week. That is not a projection — it is a measured result from the SD-WAN cutover already completed in the eastern region.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Three open POA&amp;M items close. They trace to IPAM fragmentation and incomplete identity governance — both of which UIAO directly addresses. Closing them reduces the agency's overall risk posture and removes a recurring finding that has appeared in the last two assessment cycles.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compliance evidence problem gets solved structurally. Instead of assembling a quarterly package that is already stale, assessors get continuous OSCAL output from the live architecture. The six-to-eight week lag goes away.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separation case — the one that used to take 24 to 48 hours — drops to under two minutes. That matters for both security and audit. Every contractor departure, every role change, every access review becomes a documented, automated event rather than a manual ticket that someone may or may not have closed.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longer-term outcome is an architecture that does not need to be replaced when a vendor changes. The control plane model is the investment. The specific vendors inside it are not.</w:t>
      </w:r>
    </w:p>
    <w:p>
      <w:pPr>
        <w:spacing w:after="80"/>
      </w:pP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End of Identity Plane Deep Dive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