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3A5C"/>
        </w:rPr>
        <w:t>UIAO Program Vision</w:t>
      </w:r>
    </w:p>
    <w:p>
      <w:pPr>
        <w:spacing w:before="120" w:after="120" w:line="276" w:lineRule="auto"/>
      </w:pPr>
      <w:r>
        <w:rPr>
          <w:rFonts w:ascii="Calibri" w:hAnsi="Calibri"/>
          <w:b/>
          <w:i w:val="0"/>
          <w:sz w:val="22"/>
        </w:rPr>
        <w:t>Version 1.0</w:t>
      </w:r>
    </w:p>
    <w:p>
      <w:pPr>
        <w:pStyle w:val="Heading1"/>
      </w:pPr>
      <w:r>
        <w:rPr>
          <w:color w:val="1B3A5C"/>
        </w:rPr>
        <w:t>The Five Control Planes (Vision View)</w:t>
      </w:r>
    </w:p>
    <w:p>
      <w:pPr>
        <w:pStyle w:val="Heading3"/>
      </w:pPr>
      <w:r>
        <w:rPr>
          <w:color w:val="1B3A5C"/>
        </w:rPr>
        <w:t>1. Identity Control Plane</w:t>
      </w:r>
    </w:p>
    <w:p>
      <w:pPr>
        <w:spacing w:before="120" w:after="120" w:line="276" w:lineRule="auto"/>
      </w:pPr>
      <w:r>
        <w:rPr>
          <w:rFonts w:ascii="Calibri" w:hAnsi="Calibri"/>
          <w:sz w:val="22"/>
        </w:rPr>
        <w:t>The Identity Control Plane is anchored in Entra ID and reinforced by ICAM governance, Conditional Access, Privileged Identity Management, and lifecycle automation. Identity becomes the authoritative source for access, addressing, certificates, and policy.</w:t>
      </w:r>
    </w:p>
    <w:p>
      <w:pPr>
        <w:pStyle w:val="Heading3"/>
      </w:pPr>
      <w:r>
        <w:rPr>
          <w:color w:val="1B3A5C"/>
        </w:rPr>
        <w:t>2. Network Control Plane</w:t>
      </w:r>
    </w:p>
    <w:p>
      <w:pPr>
        <w:spacing w:before="120" w:after="120" w:line="276" w:lineRule="auto"/>
      </w:pPr>
      <w:r>
        <w:rPr>
          <w:rFonts w:ascii="Calibri" w:hAnsi="Calibri"/>
          <w:sz w:val="22"/>
        </w:rPr>
        <w:t>The Network Control Plane uses Cisco SD-WAN to deliver cloud-first routing, performance-optimized paths for M365, and identity-aware segmentation. Integration with INR enables location-aware routing and emergency services readiness.</w:t>
      </w:r>
    </w:p>
    <w:p>
      <w:pPr>
        <w:pStyle w:val="Heading3"/>
      </w:pPr>
      <w:r>
        <w:rPr>
          <w:color w:val="1B3A5C"/>
        </w:rPr>
        <w:t>3. Addressing Control Plane</w:t>
      </w:r>
    </w:p>
    <w:p>
      <w:pPr>
        <w:spacing w:before="120" w:after="120" w:line="276" w:lineRule="auto"/>
      </w:pPr>
      <w:r>
        <w:rPr>
          <w:rFonts w:ascii="Calibri" w:hAnsi="Calibri"/>
          <w:sz w:val="22"/>
        </w:rPr>
        <w:t>The Addressing Control Plane modernizes IPAM through InfoBlox, replacing spreadsheets with authoritative, identity-derived addressing. DNS and DHCP are unified across cloud and on-prem environments, enabling consistent policy enforcement and accurate telemetry correlation.</w:t>
      </w:r>
    </w:p>
    <w:p>
      <w:pPr>
        <w:pStyle w:val="Heading3"/>
      </w:pPr>
      <w:r>
        <w:rPr>
          <w:color w:val="1B3A5C"/>
        </w:rPr>
        <w:t>4. Telemetry &amp; Location Control Plane</w:t>
      </w:r>
    </w:p>
    <w:p>
      <w:pPr>
        <w:spacing w:before="120" w:after="120" w:line="276" w:lineRule="auto"/>
      </w:pPr>
      <w:r>
        <w:rPr>
          <w:rFonts w:ascii="Calibri" w:hAnsi="Calibri"/>
          <w:sz w:val="22"/>
        </w:rPr>
        <w:t>The Telemetry and Location Control Plane consolidates signals from M365, SD-WAN, endpoints, DNS, CDM/CLAW, and SIEM platforms. Telemetry becomes a real-time control input for routing, security, and compliance, enabling conversation-level visibility across the enterprise.</w:t>
      </w:r>
    </w:p>
    <w:p>
      <w:pPr>
        <w:pStyle w:val="Heading3"/>
      </w:pPr>
      <w:r>
        <w:rPr>
          <w:color w:val="1B3A5C"/>
        </w:rPr>
        <w:t>5. Security &amp; Compliance Plane</w:t>
      </w:r>
    </w:p>
    <w:p>
      <w:pPr>
        <w:spacing w:before="120" w:after="120" w:line="276" w:lineRule="auto"/>
      </w:pPr>
      <w:r>
        <w:rPr>
          <w:rFonts w:ascii="Calibri" w:hAnsi="Calibri"/>
          <w:sz w:val="22"/>
        </w:rPr>
        <w:t>The Security and Compliance Plane aligns the architecture with TIC 3.0, Zero Trust, FedRAMP 20x Phase 2, NIST 800-63, and ICAM governance. Security becomes embedded in the architecture rather than bolted on, with automated enforcement replacing manual review.</w:t>
      </w:r>
    </w:p>
    <w:p>
      <w:pPr>
        <w:pStyle w:val="Heading1"/>
      </w:pPr>
      <w:r>
        <w:rPr>
          <w:color w:val="1B3A5C"/>
        </w:rPr>
        <w:t>Why This Vision Matters</w:t>
      </w:r>
    </w:p>
    <w:p>
      <w:pPr>
        <w:spacing w:before="120" w:after="120" w:line="276" w:lineRule="auto"/>
      </w:pPr>
      <w:r>
        <w:rPr>
          <w:rFonts w:ascii="Calibri" w:hAnsi="Calibri"/>
          <w:sz w:val="22"/>
        </w:rPr>
        <w:t>The current environment has three problems that are getting worse, not better.</w:t>
      </w:r>
    </w:p>
    <w:p>
      <w:pPr>
        <w:spacing w:before="120" w:after="120" w:line="276" w:lineRule="auto"/>
      </w:pPr>
      <w:r>
        <w:rPr>
          <w:rFonts w:ascii="Calibri" w:hAnsi="Calibri"/>
          <w:sz w:val="22"/>
        </w:rPr>
        <w:t>First, identity. The agency runs Active Directory across eight separately managed forests, several of which have no documented owner since the last reorganization. Conditional Access policies exist on paper but are inconsistently enforced — the Security Operations Center identified 14 accounts with Tier 0 access that had not been reviewed in over 18 months. Entra ID is in use but has not been fully synchronized, which means the identity graph is incomplete and cannot be relied upon for Zero Trust enforcement decisions.</w:t>
      </w:r>
    </w:p>
    <w:p>
      <w:pPr>
        <w:spacing w:before="120" w:after="120" w:line="276" w:lineRule="auto"/>
      </w:pPr>
      <w:r>
        <w:rPr>
          <w:rFonts w:ascii="Calibri" w:hAnsi="Calibri"/>
          <w:sz w:val="22"/>
        </w:rPr>
        <w:t>Second, addressing. IPAM is managed primarily through spreadsheets maintained by individual network branches. There is no authoritative source for IP-to-identity correlation. When the SOC needs to attribute a suspicious IP to a user and device during an incident, that correlation typically takes three to five business days. That is not a tooling problem — it is a structural one.</w:t>
      </w:r>
    </w:p>
    <w:p>
      <w:pPr>
        <w:spacing w:before="120" w:after="120" w:line="276" w:lineRule="auto"/>
      </w:pPr>
      <w:r>
        <w:rPr>
          <w:rFonts w:ascii="Calibri" w:hAnsi="Calibri"/>
          <w:sz w:val="22"/>
        </w:rPr>
        <w:t>Third, compliance posture. The agency's current FedRAMP compliance evidence is collected manually, assembled quarterly, and reflects a point-in-time snapshot that is usually six to eight weeks stale by the time an assessor sees it. Three of the agency's current open POA&amp;M items trace directly to gaps in identity governance and telemetry coverage that UIAO is designed to close.</w:t>
      </w:r>
    </w:p>
    <w:p>
      <w:pPr>
        <w:spacing w:before="120" w:after="120" w:line="276" w:lineRule="auto"/>
      </w:pPr>
      <w:r>
        <w:rPr>
          <w:rFonts w:ascii="Calibri" w:hAnsi="Calibri"/>
          <w:sz w:val="22"/>
        </w:rPr>
        <w:t>TIC 3.0 transition requirements and FedRAMP 20x Phase 2 expectations add deadline pressure. Neither can be met by continuing to optimize the current architecture.</w:t>
      </w:r>
    </w:p>
    <w:p>
      <w:pPr>
        <w:spacing w:after="80"/>
      </w:pPr>
    </w:p>
    <w:p>
      <w:pPr>
        <w:spacing w:before="120" w:after="120" w:line="276" w:lineRule="auto"/>
      </w:pPr>
      <w:r>
        <w:rPr>
          <w:rFonts w:ascii="Calibri" w:hAnsi="Calibri"/>
          <w:b w:val="0"/>
          <w:i/>
          <w:sz w:val="22"/>
        </w:rPr>
        <w:t>End of Program Vision v1.0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4"/>
      </w:rPr>
      <w:t>CUI | UIAO Program | Generated 2026-04-08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B3A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