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02 — Network Modernization</w:t>
      </w:r>
    </w:p>
    <w:p>
      <w:r>
        <w:rPr>
          <w:i/>
          <w:color w:val="5A5A5A"/>
          <w:sz w:val="24"/>
        </w:rPr>
        <w:t>AAN module: from mainframe to application-aware modernization (SD-WAN · SASE · the four principles)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Book_02 Network Modernization &lt;https://github.com/WhalerMike/uiao/blob/main/inbox/Application%20Aware%20Networking/Book_02_Federal_Application_Aware_Networking_Network_Modernization.qmd&gt; · </w:t>
      </w:r>
      <w:r>
        <w:rPr>
          <w:b/>
          <w:sz w:val="22"/>
        </w:rPr>
        <w:t>Evidence slot:</w:t>
      </w:r>
      <w:r>
        <w:rPr>
          <w:sz w:val="22"/>
        </w:rPr>
        <w:t xml:space="preserve"> 3 — network (KSI-CNA, SC-8 / CA-7) · </w:t>
      </w:r>
      <w:r>
        <w:rPr>
          <w:b/>
          <w:sz w:val="22"/>
        </w:rPr>
        <w:t>Track modules:</w:t>
      </w:r>
      <w:r>
        <w:rPr>
          <w:sz w:val="22"/>
        </w:rPr>
        <w:t xml:space="preserve"> A3, B2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A narrative history in four acts of how federal IT lost its single source of truth — mainframe centralization, 1990s decentralization into regional silos, security stacking that broke session-based Kerberos, and the multi-cloud breaking point — pivoting on one sentence: </w:t>
      </w:r>
      <w:r>
        <w:rPr>
          <w:b/>
          <w:sz w:val="22"/>
        </w:rPr>
        <w:t>Active Directory conflated the directory (truth) with the domain controller (in-path enforcer)</w:t>
      </w:r>
      <w:r>
        <w:rPr>
          <w:sz w:val="22"/>
        </w:rPr>
        <w:t>. Thesis: restore SSOT, adopt application-aware networking, move to token-based identity, and govern actively — physics and zero-trust mandates make the perimeter/session model unrecoverable.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Compute the speed-of-light propagation floor (e.g., Portland–Washington ≈ 5,400 km fiber ≈ 27 ms one-way) and explain why bandwidth cannot fix latency.</w:t>
      </w:r>
    </w:p>
    <w:p>
      <w:pPr>
        <w:pStyle w:val="ListBullet"/>
      </w:pPr>
      <w:r>
        <w:rPr>
          <w:sz w:val="22"/>
        </w:rPr>
        <w:t>Explain the two independent session killers — latency exceeding protocol timeouts, and asymmetric routing breaking stateful inspection — and how SD-WAN overlay tunnels remove asymmetry.</w:t>
      </w:r>
    </w:p>
    <w:p>
      <w:pPr>
        <w:pStyle w:val="ListBullet"/>
      </w:pPr>
      <w:r>
        <w:rPr>
          <w:sz w:val="22"/>
        </w:rPr>
        <w:t>Contrast packet-level (five-tuple) with application-aware enforcement (user, device posture, app, data, context) and name the NIST controls only the latter satisfies.</w:t>
      </w:r>
    </w:p>
    <w:p>
      <w:pPr>
        <w:pStyle w:val="ListBullet"/>
      </w:pPr>
      <w:r>
        <w:rPr>
          <w:sz w:val="22"/>
        </w:rPr>
        <w:t>Articulate why DIA alone satisfies zero NIST controls and which SASE/SD-WAN components close AC-4, SC-7, SC-8, SI-3, SI-4, AU-2/12, CA-7.</w:t>
      </w:r>
    </w:p>
    <w:p>
      <w:pPr>
        <w:pStyle w:val="ListBullet"/>
      </w:pPr>
      <w:r>
        <w:rPr>
          <w:sz w:val="22"/>
        </w:rPr>
        <w:t>Compare transports (MPLS hairpin, DIA, 5G MEC/CUPS, LEO satellite) and explain active-active multipath, FEC, and resequencing.</w:t>
      </w:r>
    </w:p>
    <w:p>
      <w:pPr>
        <w:pStyle w:val="ListBullet"/>
      </w:pPr>
      <w:r>
        <w:rPr>
          <w:sz w:val="22"/>
        </w:rPr>
        <w:t>Place governance postures on the CISA ZTMM actuation ladder and identify gated actuation as the AO-signable federal standard.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Truth/enforcer conflation in Active Directory (the "one sentence").</w:t>
      </w:r>
    </w:p>
    <w:p>
      <w:pPr>
        <w:pStyle w:val="ListBullet"/>
      </w:pPr>
      <w:r>
        <w:rPr>
          <w:sz w:val="22"/>
        </w:rPr>
        <w:t>The physics floor: fiber at ~200,000 km/s; LEO at ~550 km altitude (20–40 ms) vs. the old GEO 238 ms ruling.</w:t>
      </w:r>
    </w:p>
    <w:p>
      <w:pPr>
        <w:pStyle w:val="ListBullet"/>
      </w:pPr>
      <w:r>
        <w:rPr>
          <w:sz w:val="22"/>
        </w:rPr>
        <w:t>"DIA is a pipe" — DIA enables compliance; AAN/SASE achieve it.</w:t>
      </w:r>
    </w:p>
    <w:p>
      <w:pPr>
        <w:pStyle w:val="ListBullet"/>
      </w:pPr>
      <w:r>
        <w:rPr>
          <w:sz w:val="22"/>
        </w:rPr>
        <w:t>The Four Principles of Application-Aware Modernization: SSOT, AAN, token identity, active governance.</w:t>
      </w:r>
    </w:p>
    <w:p>
      <w:pPr>
        <w:pStyle w:val="ListBullet"/>
      </w:pPr>
      <w:r>
        <w:rPr>
          <w:sz w:val="22"/>
        </w:rPr>
        <w:t>Active Governance actuation ladder: Traditional → Initial → Advanced (gated) → Optimal.</w:t>
      </w:r>
    </w:p>
    <w:p>
      <w:pPr>
        <w:pStyle w:val="ListBullet"/>
      </w:pPr>
      <w:r>
        <w:rPr>
          <w:sz w:val="22"/>
        </w:rPr>
        <w:t>FedRAMP 20x continuous machine-readable KSI evidence replacing periodic assessment.</w:t>
      </w:r>
    </w:p>
    <w:p>
      <w:pPr>
        <w:pStyle w:val="Heading2"/>
      </w:pPr>
      <w:r>
        <w:rPr>
          <w:color w:val="0D1B2E"/>
        </w:rPr>
        <w:t>Reading sequence</w:t>
      </w:r>
    </w:p>
    <w:p>
      <w:pPr>
        <w:spacing w:before="80" w:after="80"/>
      </w:pPr>
      <w:r>
        <w:rPr>
          <w:sz w:val="22"/>
        </w:rPr>
        <w:t>Argument-shaped, not implementation-shaped: prologue (mainframe = truth + enforcement in one box) → Act 1 (decentralization distributes truth) → Act 2 (security stacking + physics break sessions) → Act 3 (multi-cloud fractures identity) → physics interlude (DIA, LEO, 5G, SD-WAN multipath) → Act 4 (the four principles mapped to federal mandates and FedRAMP 20x).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AC-4, SC-7, SC-8, SI-3, SI-4, AU-2/AU-12, CA-7, CM-8, SI-12, SC-20/SC-21. Frameworks: NIST SP 800-207, SP 800-63, SP 800-37 Rev 2; EO 14028; OMB M-22-09 §3/§4; BOD 25-01 (SCuBA); TIC 3.0 Use Cases E/F; CISA ZTMM v2.0; FedRAMP 20x Consolidated Rules.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Physics calculator: compute propagation floors for agency city pairs over fiber vs. LEO and compare against measured MPLS-hairpin latency.</w:t>
      </w:r>
    </w:p>
    <w:p>
      <w:pPr>
        <w:pStyle w:val="ListNumber"/>
      </w:pPr>
      <w:r>
        <w:rPr>
          <w:sz w:val="22"/>
        </w:rPr>
        <w:t>Asymmetric-routing demo: two-path lab with a stateful firewall on one path; observe SYN-ACK drops, then tunnel both directions through one overlay endpoint.</w:t>
      </w:r>
    </w:p>
    <w:p>
      <w:pPr>
        <w:pStyle w:val="ListNumber"/>
      </w:pPr>
      <w:r>
        <w:rPr>
          <w:sz w:val="22"/>
        </w:rPr>
        <w:t>Policy translation: rewrite five-tuple firewall rules as application-aware policies and map each to the NIST control it newly satisfies.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Concluding "DIA solved the network problem" — connectivity without the control stack is not compliance.</w:t>
      </w:r>
    </w:p>
    <w:p>
      <w:pPr>
        <w:pStyle w:val="ListBullet"/>
      </w:pPr>
      <w:r>
        <w:rPr>
          <w:sz w:val="22"/>
        </w:rPr>
        <w:t>Treating VPN as zero trust — a tunnel extends network-wide trust to any compromised endpoint inside it.</w:t>
      </w:r>
    </w:p>
    <w:p>
      <w:pPr>
        <w:pStyle w:val="ListBullet"/>
      </w:pPr>
      <w:r>
        <w:rPr>
          <w:sz w:val="22"/>
        </w:rPr>
        <w:t>Deploying tokens atop fragmented directory trees without SSOT.</w:t>
      </w:r>
    </w:p>
    <w:p>
      <w:pPr>
        <w:pStyle w:val="ListBullet"/>
      </w:pPr>
      <w:r>
        <w:rPr>
          <w:sz w:val="22"/>
        </w:rPr>
        <w:t>Letting the governance plane become an in-path enforcer, or automating high-blast-radius actions that must remain human-gated.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Cisco U. / NetAcad, Zscaler, Netskope, Fortinet / Palo Alto, AZ-700, AWS Skill Builder.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01 · </w:t>
      </w:r>
      <w:r>
        <w:rPr>
          <w:b/>
          <w:sz w:val="22"/>
        </w:rPr>
        <w:t>Next:</w:t>
      </w:r>
      <w:r>
        <w:rPr>
          <w:sz w:val="22"/>
        </w:rPr>
        <w:t xml:space="preserve"> Book 03 — Federal Telecommunications Modernization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