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07 — Privileged Access Management</w:t>
      </w:r>
    </w:p>
    <w:p>
      <w:r>
        <w:rPr>
          <w:i/>
          <w:color w:val="5A5A5A"/>
          <w:sz w:val="24"/>
        </w:rPr>
        <w:t>AAN module: eliminating standing privilege with PIM, Arc JIT, PAWs, and break-glass design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Book_07 Privileged Access Management &lt;https://github.com/WhalerMike/uiao/blob/main/inbox/Application%20Aware%20Networking/Book_07_Federal_Application_Aware_Networking_Privileged_Access_Management.qmd&gt; · </w:t>
      </w:r>
      <w:r>
        <w:rPr>
          <w:b/>
          <w:sz w:val="22"/>
        </w:rPr>
        <w:t>Evidence slots:</w:t>
      </w:r>
      <w:r>
        <w:rPr>
          <w:sz w:val="22"/>
        </w:rPr>
        <w:t xml:space="preserve"> 1 — identity (KSI-IAM); 5 — endpoint (KSI-PIY) · </w:t>
      </w:r>
      <w:r>
        <w:rPr>
          <w:b/>
          <w:sz w:val="22"/>
        </w:rPr>
        <w:t>Track modules:</w:t>
      </w:r>
      <w:r>
        <w:rPr>
          <w:sz w:val="22"/>
        </w:rPr>
        <w:t xml:space="preserve"> A1, A5, B4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Closes the residual attack surface left after Books 01–06: </w:t>
      </w:r>
      <w:r>
        <w:rPr>
          <w:b/>
          <w:sz w:val="22"/>
        </w:rPr>
        <w:t>standing administrative privilege</w:t>
      </w:r>
      <w:r>
        <w:rPr>
          <w:sz w:val="22"/>
        </w:rPr>
        <w:t>. Even with token-based authentication everywhere, a standing Global Administrator is a strongly-authenticated standing target. The book implements Entra PIM just-in-time activation, Arc JIT server access, privileged access workstations (PAW), break-glass accounts, and session policy controls — reducing admin exposure from continuous to bounded and auditable.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Explain the distinction between authentication quality (Books 01–06) and authorization scope, and why Entra migration alone does not reduce standing privilege.</w:t>
      </w:r>
    </w:p>
    <w:p>
      <w:pPr>
        <w:pStyle w:val="ListBullet"/>
      </w:pPr>
      <w:r>
        <w:rPr>
          <w:sz w:val="22"/>
        </w:rPr>
        <w:t>Differentiate PIM eligible vs. active assignments and describe the five-stage activation flow (request, MFA, approval, time-limited activation, automatic deactivation).</w:t>
      </w:r>
    </w:p>
    <w:p>
      <w:pPr>
        <w:pStyle w:val="ListBullet"/>
      </w:pPr>
      <w:r>
        <w:rPr>
          <w:sz w:val="22"/>
        </w:rPr>
        <w:t>Enumerate standing role assignments via Microsoft Graph PowerShell and convert human accounts to eligible-only.</w:t>
      </w:r>
    </w:p>
    <w:p>
      <w:pPr>
        <w:pStyle w:val="ListBullet"/>
      </w:pPr>
      <w:r>
        <w:rPr>
          <w:sz w:val="22"/>
        </w:rPr>
        <w:t>Configure Arc JIT SSH/RDP (Virtual Machine Administrator Login role, no public ports) and disable local Administrator via Arc Run Command.</w:t>
      </w:r>
    </w:p>
    <w:p>
      <w:pPr>
        <w:pStyle w:val="ListBullet"/>
      </w:pPr>
      <w:r>
        <w:rPr>
          <w:sz w:val="22"/>
        </w:rPr>
        <w:t>Build a PAW baseline: Entra-joined dedicated hardware, Intune compliance policy (BitLocker, Secure Boot, TPM 2.0, WDAC, Credential Guard), and Conditional Access gating PIM activation on device compliance.</w:t>
      </w:r>
    </w:p>
    <w:p>
      <w:pPr>
        <w:pStyle w:val="ListBullet"/>
      </w:pPr>
      <w:r>
        <w:rPr>
          <w:sz w:val="22"/>
        </w:rPr>
        <w:t>Design break-glass accounts (two cloud-only standing Global Admins, FIDO2 keys, physical safe, CA exclusion, Sentinel alerting, quarterly testing).</w:t>
      </w:r>
    </w:p>
    <w:p>
      <w:pPr>
        <w:pStyle w:val="ListBullet"/>
      </w:pPr>
      <w:r>
        <w:rPr>
          <w:sz w:val="22"/>
        </w:rPr>
        <w:t>Implement AC-11/AC-12/IA-11 session controls: 15-minute lock, sign-in frequency, Authentication Context step-up MFA.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standing-privilege problem (with the Scattered Spider AA23-278A and Storm-0558 case studies).</w:t>
      </w:r>
    </w:p>
    <w:p>
      <w:pPr>
        <w:pStyle w:val="ListBullet"/>
      </w:pPr>
      <w:r>
        <w:rPr>
          <w:sz w:val="22"/>
        </w:rPr>
        <w:t>Role protection table: Global Admin, Privileged Role Admin, Security Admin, Exchange/SharePoint/Intune Admin, Azure Owner/Contributor.</w:t>
      </w:r>
    </w:p>
    <w:p>
      <w:pPr>
        <w:pStyle w:val="ListBullet"/>
      </w:pPr>
      <w:r>
        <w:rPr>
          <w:sz w:val="22"/>
        </w:rPr>
        <w:t>Arc JIT SSH/RDP through the Arc connectivity layer (</w:t>
      </w:r>
      <w:r>
        <w:rPr>
          <w:rFonts w:ascii="Consolas" w:hAnsi="Consolas"/>
          <w:sz w:val="22"/>
        </w:rPr>
        <w:t>az ssh arc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PAW trust model — device identity as an authentication factor; WDAC allowlisting.</w:t>
      </w:r>
    </w:p>
    <w:p>
      <w:pPr>
        <w:pStyle w:val="ListBullet"/>
      </w:pPr>
      <w:r>
        <w:rPr>
          <w:sz w:val="22"/>
        </w:rPr>
        <w:t>Entra Authentication Context (</w:t>
      </w:r>
      <w:r>
        <w:rPr>
          <w:rFonts w:ascii="Consolas" w:hAnsi="Consolas"/>
          <w:sz w:val="22"/>
        </w:rPr>
        <w:t>c1</w:t>
      </w:r>
      <w:r>
        <w:rPr>
          <w:sz w:val="22"/>
        </w:rPr>
        <w:t>) for IA-11 step-up MFA.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b/>
          <w:sz w:val="22"/>
        </w:rPr>
        <w:t>Create break-glass accounts first</w:t>
      </w:r>
      <w:r>
        <w:rPr>
          <w:sz w:val="22"/>
        </w:rPr>
        <w:t xml:space="preserve"> (before removing standing access); FIDO2 keys, CA exclusion, Sentinel sign-in alert.</w:t>
      </w:r>
    </w:p>
    <w:p>
      <w:pPr>
        <w:pStyle w:val="ListNumber"/>
      </w:pPr>
      <w:r>
        <w:rPr>
          <w:sz w:val="22"/>
        </w:rPr>
        <w:t>Enumerate standing active assignments for privileged roles via Graph.</w:t>
      </w:r>
    </w:p>
    <w:p>
      <w:pPr>
        <w:pStyle w:val="ListNumber"/>
      </w:pPr>
      <w:r>
        <w:rPr>
          <w:sz w:val="22"/>
        </w:rPr>
        <w:t>Convert human accounts to PIM eligible; per-role policies (4-hour max for Global Admin, MFA, justification, approver).</w:t>
      </w:r>
    </w:p>
    <w:p>
      <w:pPr>
        <w:pStyle w:val="ListNumber"/>
      </w:pPr>
      <w:r>
        <w:rPr>
          <w:sz w:val="22"/>
        </w:rPr>
        <w:t>Configure Arc JIT server access; disable local Administrator accounts.</w:t>
      </w:r>
    </w:p>
    <w:p>
      <w:pPr>
        <w:pStyle w:val="ListNumber"/>
      </w:pPr>
      <w:r>
        <w:rPr>
          <w:sz w:val="22"/>
        </w:rPr>
        <w:t>Deploy PAW hardware, Intune compliance policy, WDAC.</w:t>
      </w:r>
    </w:p>
    <w:p>
      <w:pPr>
        <w:pStyle w:val="ListNumber"/>
      </w:pPr>
      <w:r>
        <w:rPr>
          <w:sz w:val="22"/>
        </w:rPr>
        <w:t>Deploy Conditional Access policies in report-only mode for 14+ days, then enforce.</w:t>
      </w:r>
    </w:p>
    <w:p>
      <w:pPr>
        <w:pStyle w:val="ListNumber"/>
      </w:pPr>
      <w:r>
        <w:rPr>
          <w:sz w:val="22"/>
        </w:rPr>
        <w:t>Bind Authentication Context to PIM activation; quarterly break-glass tests.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AC-5, AC-6, AC-6(1)(2)(5)(9)(10), AC-11, AC-12, IA-11 (full before/after closure table). FedRAMP 20x: KSI-IAM-02, KSI-IAM-03 (phishing-resistant MFA), KSI-EDR-01. OMB M-22-09, NIST SP 800-207, CMMC 2.0 Level 2.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Books 01–06, specifically Arc as identity bridge (Books 04–05) and Entra/Conditional Access foundations (Books 01–03). PowerShell/Graph skills.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Enumerate standing admin assignments in a test tenant, convert one to PIM eligible, walk the full activation ceremony, inspect the PIM audit log.</w:t>
      </w:r>
    </w:p>
    <w:p>
      <w:pPr>
        <w:pStyle w:val="ListNumber"/>
      </w:pPr>
      <w:r>
        <w:rPr>
          <w:sz w:val="22"/>
        </w:rPr>
        <w:t>Configure Arc JIT SSH to a test server; disable local Administrator via Run Command; verify no inbound 22/3389.</w:t>
      </w:r>
    </w:p>
    <w:p>
      <w:pPr>
        <w:pStyle w:val="ListNumber"/>
      </w:pPr>
      <w:r>
        <w:rPr>
          <w:sz w:val="22"/>
        </w:rPr>
        <w:t>Create a break-glass account with a Sentinel alert rule; validate the alert fires within 5 minutes of a test sign-in.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Treating credential migration as the security outcome — stronger authentication with unchanged standing authorization scope.</w:t>
      </w:r>
    </w:p>
    <w:p>
      <w:pPr>
        <w:pStyle w:val="ListBullet"/>
      </w:pPr>
      <w:r>
        <w:rPr>
          <w:sz w:val="22"/>
        </w:rPr>
        <w:t>Enforcing PAW Conditional Access immediately instead of 14+ days report-only (admin lockout risk).</w:t>
      </w:r>
    </w:p>
    <w:p>
      <w:pPr>
        <w:pStyle w:val="ListBullet"/>
      </w:pPr>
      <w:r>
        <w:rPr>
          <w:sz w:val="22"/>
        </w:rPr>
        <w:t>Building a PAW as a VM on a shared hypervisor.</w:t>
      </w:r>
    </w:p>
    <w:p>
      <w:pPr>
        <w:pStyle w:val="ListBullet"/>
      </w:pPr>
      <w:r>
        <w:rPr>
          <w:sz w:val="22"/>
        </w:rPr>
        <w:t>Removing standing access without break-glass accounts, or leaving break-glass untested.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SC-300, AZ-500, SANS.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06 · </w:t>
      </w:r>
      <w:r>
        <w:rPr>
          <w:b/>
          <w:sz w:val="22"/>
        </w:rPr>
        <w:t>Next:</w:t>
      </w:r>
      <w:r>
        <w:rPr>
          <w:sz w:val="22"/>
        </w:rPr>
        <w:t xml:space="preserve"> Book 08 — Vulnerability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