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11 — Business Continuity</w:t>
      </w:r>
    </w:p>
    <w:p>
      <w:r>
        <w:rPr>
          <w:i/>
          <w:color w:val="5A5A5A"/>
          <w:sz w:val="24"/>
        </w:rPr>
        <w:t>AAN module: the CP-2 contingency plan as artifact — BIA, recovery phases, and tested failover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Book_11 Business Continuity &lt;https://github.com/WhalerMike/uiao/blob/main/inbox/Application%20Aware%20Networking/Book_11_Federal_Application_Aware_Networking_Business_Continuity.qmd&gt; · </w:t>
      </w:r>
      <w:r>
        <w:rPr>
          <w:b/>
          <w:sz w:val="22"/>
        </w:rPr>
        <w:t>Evidence slot:</w:t>
      </w:r>
      <w:r>
        <w:rPr>
          <w:sz w:val="22"/>
        </w:rPr>
        <w:t xml:space="preserve"> 7 — continuity (KSI-RPL, CP-2 / CP-4) · </w:t>
      </w:r>
      <w:r>
        <w:rPr>
          <w:b/>
          <w:sz w:val="22"/>
        </w:rPr>
        <w:t>Track modules:</w:t>
      </w:r>
      <w:r>
        <w:rPr>
          <w:sz w:val="22"/>
        </w:rPr>
        <w:t xml:space="preserve"> A7, B6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Capable DR infrastructure (Books 01–10) does not satisfy CP-2 — </w:t>
      </w:r>
      <w:r>
        <w:rPr>
          <w:b/>
          <w:sz w:val="22"/>
        </w:rPr>
        <w:t>only a signed, distributed, tested Contingency Plan document does</w:t>
      </w:r>
      <w:r>
        <w:rPr>
          <w:sz w:val="22"/>
        </w:rPr>
        <w:t>. The book assembles the series' technical capabilities into a NIST SP 800-34 Rev 1 seven-section plan, anchored by a Business Impact Analysis, and closes the full CP family (CP-2 through CP-10) with testing and after-action artifacts.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Distinguish a DR runbook (the middle of a response) from a CP-2 Contingency Plan (activation, notification, sequencing, reconstitution) and explain why assessors write High findings absent the document.</w:t>
      </w:r>
    </w:p>
    <w:p>
      <w:pPr>
        <w:pStyle w:val="ListBullet"/>
      </w:pPr>
      <w:r>
        <w:rPr>
          <w:sz w:val="22"/>
        </w:rPr>
        <w:t>Conduct a BIA producing MTD, RTO, RPO, and WRT per system via mission-owner interviews, transaction-rate analysis, and dependency mapping.</w:t>
      </w:r>
    </w:p>
    <w:p>
      <w:pPr>
        <w:pStyle w:val="ListBullet"/>
      </w:pPr>
      <w:r>
        <w:rPr>
          <w:sz w:val="22"/>
        </w:rPr>
        <w:t>Author all seven NIST SP 800-34 sections, including activation thresholds, a timed notification procedure, recovery priority ordering, and reconstitution/failback.</w:t>
      </w:r>
    </w:p>
    <w:p>
      <w:pPr>
        <w:pStyle w:val="ListBullet"/>
      </w:pPr>
      <w:r>
        <w:rPr>
          <w:sz w:val="22"/>
        </w:rPr>
        <w:t>Document CP-6 alternate storage across structured data (SQL AG async replica), unstructured data (M365 multi-geo), application binaries, and IaC/policy baselines.</w:t>
      </w:r>
    </w:p>
    <w:p>
      <w:pPr>
        <w:pStyle w:val="ListBullet"/>
      </w:pPr>
      <w:r>
        <w:rPr>
          <w:sz w:val="22"/>
        </w:rPr>
        <w:t>Document CP-7 alternate processing (secondary cloud region, tested-not-designed RTOs) and CP-8 telecom redundancy (SD-WAN MPLS + DIA dual underlay).</w:t>
      </w:r>
    </w:p>
    <w:p>
      <w:pPr>
        <w:pStyle w:val="ListBullet"/>
      </w:pPr>
      <w:r>
        <w:rPr>
          <w:sz w:val="22"/>
        </w:rPr>
        <w:t>Plan and facilitate a CP-4 tabletop exercise with injects, metrics, and a signed After-Action Report.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"Technology without a plan fails CP-2" — the plan as artifact, not capability.</w:t>
      </w:r>
    </w:p>
    <w:p>
      <w:pPr>
        <w:pStyle w:val="ListBullet"/>
      </w:pPr>
      <w:r>
        <w:rPr>
          <w:sz w:val="22"/>
        </w:rPr>
        <w:t>BIA quartet: MTD &gt; RTO; RTO + WRT &lt; MTD; RPO as concrete transaction loss at peak.</w:t>
      </w:r>
    </w:p>
    <w:p>
      <w:pPr>
        <w:pStyle w:val="ListBullet"/>
      </w:pPr>
      <w:r>
        <w:rPr>
          <w:sz w:val="22"/>
        </w:rPr>
        <w:t>Five recovery phases: Activation → Notification → Recovery → Validation → Reconstitution.</w:t>
      </w:r>
    </w:p>
    <w:p>
      <w:pPr>
        <w:pStyle w:val="ListBullet"/>
      </w:pPr>
      <w:r>
        <w:rPr>
          <w:sz w:val="22"/>
        </w:rPr>
        <w:t>Contingency Plan Coordinator (CPC) authority model with named alternate.</w:t>
      </w:r>
    </w:p>
    <w:p>
      <w:pPr>
        <w:pStyle w:val="ListBullet"/>
      </w:pPr>
      <w:r>
        <w:rPr>
          <w:sz w:val="22"/>
        </w:rPr>
        <w:t>Dependency-driven recovery priority: network/DDI first, identity second, mission apps next.</w:t>
      </w:r>
    </w:p>
    <w:p>
      <w:pPr>
        <w:pStyle w:val="ListBullet"/>
      </w:pPr>
      <w:r>
        <w:rPr>
          <w:sz w:val="22"/>
        </w:rPr>
        <w:t>CP-6(1)/CP-7(1) geographic separation: different region, not just availability zone.</w:t>
      </w:r>
    </w:p>
    <w:p>
      <w:pPr>
        <w:pStyle w:val="ListBullet"/>
      </w:pPr>
      <w:r>
        <w:rPr>
          <w:sz w:val="22"/>
        </w:rPr>
        <w:t>Three-year test cycle: tabletop → functional failover → full recovery test.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sz w:val="22"/>
        </w:rPr>
        <w:t>Inventory systems from the Book 05 SQL estate and Book 01 DDI dependency maps; scope the BIA.</w:t>
      </w:r>
    </w:p>
    <w:p>
      <w:pPr>
        <w:pStyle w:val="ListNumber"/>
      </w:pPr>
      <w:r>
        <w:rPr>
          <w:sz w:val="22"/>
        </w:rPr>
        <w:t>Run stakeholder interviews and transaction analysis; compile the BIA table with mission-owner sign-off.</w:t>
      </w:r>
    </w:p>
    <w:p>
      <w:pPr>
        <w:pStyle w:val="ListNumber"/>
      </w:pPr>
      <w:r>
        <w:rPr>
          <w:sz w:val="22"/>
        </w:rPr>
        <w:t>Author the seven-section plan, referencing Books 01–10 runbooks as appendices rather than duplicating them.</w:t>
      </w:r>
    </w:p>
    <w:p>
      <w:pPr>
        <w:pStyle w:val="ListNumber"/>
      </w:pPr>
      <w:r>
        <w:rPr>
          <w:sz w:val="22"/>
        </w:rPr>
        <w:t>Document and validate CP-6 alternate storage (annual restore test) and CP-7 alternate processing (tested failover RTOs).</w:t>
      </w:r>
    </w:p>
    <w:p>
      <w:pPr>
        <w:pStyle w:val="ListNumber"/>
      </w:pPr>
      <w:r>
        <w:rPr>
          <w:sz w:val="22"/>
        </w:rPr>
        <w:t>Document CP-8 circuit inventory, failover thresholds, priority-of-service provisions.</w:t>
      </w:r>
    </w:p>
    <w:p>
      <w:pPr>
        <w:pStyle w:val="ListNumber"/>
      </w:pPr>
      <w:r>
        <w:rPr>
          <w:sz w:val="22"/>
        </w:rPr>
        <w:t>Execute the tabletop with deliberate injects; record metrics.</w:t>
      </w:r>
    </w:p>
    <w:p>
      <w:pPr>
        <w:pStyle w:val="ListNumber"/>
      </w:pPr>
      <w:r>
        <w:rPr>
          <w:sz w:val="22"/>
        </w:rPr>
        <w:t>Produce the signed AAR; plan updates within 30 days; annual cycle.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CP-2, CP-2(1), CP-2(8), CP-3, CP-4, CP-4(1), CP-6, CP-6(1), CP-7, CP-7(1), CP-7(3), CP-8, CP-8(1), CP-9, CP-10; AU-9 and IR-4 by cross-reference. NIST SP 800-34 Rev 1; FISMA; OMB A-130. FedRAMP 20x KSIs: backup and recovery; incident response and continuity.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Explicitly the whole series: DDI Grid replication (01), SD-WAN dual underlay (02), break-glass identity (03, 07), SQL AG replicas (05–06), config backups (08), compliance exports (09), geo-redundant Sentinel logging (10). Facilitation and technical-writing skills matter as much as engineering here.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Conduct a mock BIA interview; produce a signed BIA row (MTD/RTO/RPO/WRT plus dependencies) for a sample system.</w:t>
      </w:r>
    </w:p>
    <w:p>
      <w:pPr>
        <w:pStyle w:val="ListNumber"/>
      </w:pPr>
      <w:r>
        <w:rPr>
          <w:sz w:val="22"/>
        </w:rPr>
        <w:t>Run the book's 2-hour ransomware tabletop with its injects (absent CPC, wrong roster number, sync replica also compromised); complete the metrics table and AAR.</w:t>
      </w:r>
    </w:p>
    <w:p>
      <w:pPr>
        <w:pStyle w:val="ListNumber"/>
      </w:pPr>
      <w:r>
        <w:rPr>
          <w:sz w:val="22"/>
        </w:rPr>
        <w:t>Script the quarterly device-policy export to a secondary-region vault and perform the annual CP-6 restore-and-integrity test.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Adjusting the MTD downward to match a convenient technical RTO — the MTD is a mission decision requiring mission-owner signature.</w:t>
      </w:r>
    </w:p>
    <w:p>
      <w:pPr>
        <w:pStyle w:val="ListBullet"/>
      </w:pPr>
      <w:r>
        <w:rPr>
          <w:sz w:val="22"/>
        </w:rPr>
        <w:t>Treating a wiki of runbooks as a Contingency Plan.</w:t>
      </w:r>
    </w:p>
    <w:p>
      <w:pPr>
        <w:pStyle w:val="ListBullet"/>
      </w:pPr>
      <w:r>
        <w:rPr>
          <w:sz w:val="22"/>
        </w:rPr>
        <w:t>A replica in the same region (AZ-only separation) fails CP-6(1)/CP-7(1) geographic separation.</w:t>
      </w:r>
    </w:p>
    <w:p>
      <w:pPr>
        <w:pStyle w:val="ListBullet"/>
      </w:pPr>
      <w:r>
        <w:rPr>
          <w:sz w:val="22"/>
        </w:rPr>
        <w:t>Clean test results are a red flag — a zero-finding tabletop signals an inadequate scenario. Keep personal phone numbers out of the plan body.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CISA Learning.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10 · </w:t>
      </w:r>
      <w:r>
        <w:rPr>
          <w:b/>
          <w:sz w:val="22"/>
        </w:rPr>
        <w:t>Next:</w:t>
      </w:r>
      <w:r>
        <w:rPr>
          <w:sz w:val="22"/>
        </w:rPr>
        <w:t xml:space="preserve"> Book 12 — Supply Chain Risk Management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