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50.png" ContentType="image/png"/>
  <Override PartName="/word/media/rId18.png" ContentType="image/png"/>
  <Override PartName="/word/media/rId27.png" ContentType="image/png"/>
  <Override PartName="/word/media/rId35.png" ContentType="image/png"/>
  <Override PartName="/word/media/rId42.png" ContentType="image/png"/>
  <Override PartName="/word/media/rId56.png" ContentType="image/png"/>
  <Override PartName="/word/media/rId72.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5"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5"/>
    <w:bookmarkStart w:id="23" w:name="the-device-identity-gap"/>
    <w:p>
      <w:pPr>
        <w:pStyle w:val="Heading1"/>
      </w:pPr>
      <w:r>
        <w:t xml:space="preserve">2. The Device Identity Gap</w:t>
      </w:r>
    </w:p>
    <w:bookmarkStart w:id="16"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6"/>
    <w:bookmarkStart w:id="17"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17"/>
    <w:bookmarkStart w:id="22"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nac01"/>
          <w:p>
            <w:pPr>
              <w:pStyle w:val="Compact"/>
              <w:jc w:val="center"/>
            </w:pPr>
            <w:r>
              <w:drawing>
                <wp:inline>
                  <wp:extent cx="5334000" cy="3000375"/>
                  <wp:effectExtent b="0" l="0" r="0" t="0"/>
                  <wp:docPr descr="" title="" id="19" name="Picture"/>
                  <a:graphic>
                    <a:graphicData uri="http://schemas.openxmlformats.org/drawingml/2006/picture">
                      <pic:pic>
                        <pic:nvPicPr>
                          <pic:cNvPr descr="figs/nac-fig-01-before-after.png" id="20" name="Picture"/>
                          <pic:cNvPicPr>
                            <a:picLocks noChangeArrowheads="1" noChangeAspect="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1"/>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2"/>
    <w:bookmarkEnd w:id="23"/>
    <w:bookmarkStart w:id="24"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4"/>
    <w:bookmarkStart w:id="33" w:name="X82c6a9b21860f42551bf826059803119df8d347"/>
    <w:p>
      <w:pPr>
        <w:pStyle w:val="Heading1"/>
      </w:pPr>
      <w:r>
        <w:t xml:space="preserve">4. NAC Architecture — RADIUS, 802.1X, and EAP-TLS</w:t>
      </w:r>
    </w:p>
    <w:bookmarkStart w:id="25"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5"/>
    <w:bookmarkStart w:id="26"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6"/>
    <w:bookmarkStart w:id="31"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0" w:name="fig-nac02"/>
          <w:p>
            <w:pPr>
              <w:pStyle w:val="Compact"/>
              <w:jc w:val="center"/>
            </w:pPr>
            <w:r>
              <w:drawing>
                <wp:inline>
                  <wp:extent cx="5334000" cy="3000375"/>
                  <wp:effectExtent b="0" l="0" r="0" t="0"/>
                  <wp:docPr descr="" title="" id="28" name="Picture"/>
                  <a:graphic>
                    <a:graphicData uri="http://schemas.openxmlformats.org/drawingml/2006/picture">
                      <pic:pic>
                        <pic:nvPicPr>
                          <pic:cNvPr descr="figs/nac-fig-02-radius-architecture.png" id="29" name="Picture"/>
                          <pic:cNvPicPr>
                            <a:picLocks noChangeArrowheads="1" noChangeAspect="1"/>
                          </pic:cNvPicPr>
                        </pic:nvPicPr>
                        <pic:blipFill>
                          <a:blip r:embed="rId2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0"/>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1"/>
    <w:bookmarkStart w:id="32"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2"/>
    <w:bookmarkEnd w:id="33"/>
    <w:bookmarkStart w:id="41" w:name="X2294e353f63bbf43a569a1eeee897fe8ad8488c"/>
    <w:p>
      <w:pPr>
        <w:pStyle w:val="Heading1"/>
      </w:pPr>
      <w:r>
        <w:t xml:space="preserve">5. Certificate Infrastructure and Device Enrollment</w:t>
      </w:r>
    </w:p>
    <w:bookmarkStart w:id="34"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4"/>
    <w:bookmarkStart w:id="39"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38" w:name="fig-nac03"/>
          <w:p>
            <w:pPr>
              <w:pStyle w:val="Compact"/>
              <w:jc w:val="center"/>
            </w:pPr>
            <w:r>
              <w:drawing>
                <wp:inline>
                  <wp:extent cx="5334000" cy="3000375"/>
                  <wp:effectExtent b="0" l="0" r="0" t="0"/>
                  <wp:docPr descr="" title="" id="36" name="Picture"/>
                  <a:graphic>
                    <a:graphicData uri="http://schemas.openxmlformats.org/drawingml/2006/picture">
                      <pic:pic>
                        <pic:nvPicPr>
                          <pic:cNvPr descr="figs/nac-fig-03-cert-enrollment.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38"/>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39"/>
    <w:bookmarkStart w:id="40"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0"/>
    <w:bookmarkEnd w:id="41"/>
    <w:bookmarkStart w:id="54" w:name="nac-policy-tier-structure"/>
    <w:p>
      <w:pPr>
        <w:pStyle w:val="Heading1"/>
      </w:pPr>
      <w:r>
        <w:t xml:space="preserve">6. NAC Policy Tier Structure</w:t>
      </w:r>
    </w:p>
    <w:bookmarkStart w:id="46"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5" w:name="fig-nac04"/>
          <w:p>
            <w:pPr>
              <w:pStyle w:val="Compact"/>
              <w:jc w:val="center"/>
            </w:pPr>
            <w:r>
              <w:drawing>
                <wp:inline>
                  <wp:extent cx="5334000" cy="3000375"/>
                  <wp:effectExtent b="0" l="0" r="0" t="0"/>
                  <wp:docPr descr="" title="" id="43" name="Picture"/>
                  <a:graphic>
                    <a:graphicData uri="http://schemas.openxmlformats.org/drawingml/2006/picture">
                      <pic:pic>
                        <pic:nvPicPr>
                          <pic:cNvPr descr="figs/nac-fig-04-policy-tiers.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5"/>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6"/>
    <w:bookmarkStart w:id="47"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7"/>
    <w:bookmarkStart w:id="48"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48"/>
    <w:bookmarkStart w:id="49"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49"/>
    <w:bookmarkStart w:id="53"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3"/>
    <w:bookmarkEnd w:id="54"/>
    <w:bookmarkStart w:id="61" w:name="posture-assessment-integration"/>
    <w:p>
      <w:pPr>
        <w:pStyle w:val="Heading1"/>
      </w:pPr>
      <w:r>
        <w:t xml:space="preserve">7. Posture Assessment Integration</w:t>
      </w:r>
    </w:p>
    <w:bookmarkStart w:id="55"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5"/>
    <w:bookmarkStart w:id="60"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59" w:name="fig-nac05"/>
          <w:p>
            <w:pPr>
              <w:pStyle w:val="Compact"/>
              <w:jc w:val="center"/>
            </w:pPr>
            <w:r>
              <w:drawing>
                <wp:inline>
                  <wp:extent cx="5334000" cy="3000375"/>
                  <wp:effectExtent b="0" l="0" r="0" t="0"/>
                  <wp:docPr descr="" title="" id="57" name="Picture"/>
                  <a:graphic>
                    <a:graphicData uri="http://schemas.openxmlformats.org/drawingml/2006/picture">
                      <pic:pic>
                        <pic:nvPicPr>
                          <pic:cNvPr descr="figs/nac-fig-05-coa-flo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59"/>
        </w:tc>
      </w:tr>
    </w:tbl>
    <w:bookmarkEnd w:id="60"/>
    <w:bookmarkEnd w:id="61"/>
    <w:bookmarkStart w:id="65" w:name="wired-and-wireless-nac"/>
    <w:p>
      <w:pPr>
        <w:pStyle w:val="Heading1"/>
      </w:pPr>
      <w:r>
        <w:t xml:space="preserve">8. Wired and Wireless NAC</w:t>
      </w:r>
    </w:p>
    <w:bookmarkStart w:id="62"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2"/>
    <w:bookmarkStart w:id="63"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3"/>
    <w:bookmarkStart w:id="64"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4"/>
    <w:bookmarkEnd w:id="65"/>
    <w:bookmarkStart w:id="68" w:name="infoblox-integration"/>
    <w:p>
      <w:pPr>
        <w:pStyle w:val="Heading1"/>
      </w:pPr>
      <w:r>
        <w:t xml:space="preserve">9. InfoBlox Integration</w:t>
      </w:r>
    </w:p>
    <w:bookmarkStart w:id="66"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6"/>
    <w:bookmarkStart w:id="67"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bookmarkEnd w:id="67"/>
    <w:bookmarkEnd w:id="68"/>
    <w:bookmarkStart w:id="71" w:name="logging-and-monitoring"/>
    <w:p>
      <w:pPr>
        <w:pStyle w:val="Heading1"/>
      </w:pPr>
      <w:r>
        <w:t xml:space="preserve">10. Logging and Monitoring</w:t>
      </w:r>
    </w:p>
    <w:bookmarkStart w:id="69"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4"/>
        </w:numPr>
      </w:pPr>
      <w:r>
        <w:t xml:space="preserve">Device MAC address (Calling-Station-Id)</w:t>
      </w:r>
    </w:p>
    <w:p>
      <w:pPr>
        <w:pStyle w:val="Compact"/>
        <w:numPr>
          <w:ilvl w:val="0"/>
          <w:numId w:val="1014"/>
        </w:numPr>
      </w:pPr>
      <w:r>
        <w:t xml:space="preserve">Switch IP and port (NAS-IP-Address, NAS-Port)</w:t>
      </w:r>
    </w:p>
    <w:p>
      <w:pPr>
        <w:pStyle w:val="Compact"/>
        <w:numPr>
          <w:ilvl w:val="0"/>
          <w:numId w:val="1014"/>
        </w:numPr>
      </w:pPr>
      <w:r>
        <w:t xml:space="preserve">Authentication result (Access-Accept / Access-Reject)</w:t>
      </w:r>
    </w:p>
    <w:p>
      <w:pPr>
        <w:pStyle w:val="Compact"/>
        <w:numPr>
          <w:ilvl w:val="0"/>
          <w:numId w:val="1014"/>
        </w:numPr>
      </w:pPr>
      <w:r>
        <w:t xml:space="preserve">VLAN assigned (Tunnel-Private-Group-ID)</w:t>
      </w:r>
    </w:p>
    <w:p>
      <w:pPr>
        <w:pStyle w:val="Compact"/>
        <w:numPr>
          <w:ilvl w:val="0"/>
          <w:numId w:val="1014"/>
        </w:numPr>
      </w:pPr>
      <w:r>
        <w:t xml:space="preserve">Reason for rejection (if applicable)</w:t>
      </w:r>
    </w:p>
    <w:p>
      <w:pPr>
        <w:pStyle w:val="Compact"/>
        <w:numPr>
          <w:ilvl w:val="0"/>
          <w:numId w:val="1014"/>
        </w:numPr>
      </w:pPr>
      <w:r>
        <w:t xml:space="preserve">Certificate SAN (User-Name attribute in EAP-TLS)</w:t>
      </w:r>
    </w:p>
    <w:p>
      <w:pPr>
        <w:pStyle w:val="Compact"/>
        <w:numPr>
          <w:ilvl w:val="0"/>
          <w:numId w:val="1014"/>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80"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75" w:name="fig-nac06"/>
          <w:p>
            <w:pPr>
              <w:pStyle w:val="Compact"/>
              <w:jc w:val="center"/>
            </w:pPr>
            <w:r>
              <w:drawing>
                <wp:inline>
                  <wp:extent cx="5334000" cy="3000375"/>
                  <wp:effectExtent b="0" l="0" r="0" t="0"/>
                  <wp:docPr descr=""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75"/>
        </w:tc>
      </w:tr>
    </w:tbl>
    <w:bookmarkStart w:id="76"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5"/>
        </w:numPr>
      </w:pPr>
      <w:r>
        <w:t xml:space="preserve">The 802.1X authentication exchange occurs normally.</w:t>
      </w:r>
    </w:p>
    <w:p>
      <w:pPr>
        <w:pStyle w:val="Compact"/>
        <w:numPr>
          <w:ilvl w:val="0"/>
          <w:numId w:val="1015"/>
        </w:numPr>
      </w:pPr>
      <w:r>
        <w:t xml:space="preserve">RADIUS returns Accept or Reject based on certificate validation and compliance.</w:t>
      </w:r>
    </w:p>
    <w:p>
      <w:pPr>
        <w:pStyle w:val="Compact"/>
        <w:numPr>
          <w:ilvl w:val="0"/>
          <w:numId w:val="1015"/>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5"/>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6"/>
        </w:numPr>
      </w:pPr>
      <w:r>
        <w:t xml:space="preserve">Count of devices that passed EAP-TLS with compliant status</w:t>
      </w:r>
    </w:p>
    <w:p>
      <w:pPr>
        <w:pStyle w:val="Compact"/>
        <w:numPr>
          <w:ilvl w:val="0"/>
          <w:numId w:val="1016"/>
        </w:numPr>
      </w:pPr>
      <w:r>
        <w:t xml:space="preserve">Count of devices that passed EAP-TLS but failed compliance</w:t>
      </w:r>
    </w:p>
    <w:p>
      <w:pPr>
        <w:pStyle w:val="Compact"/>
        <w:numPr>
          <w:ilvl w:val="0"/>
          <w:numId w:val="1016"/>
        </w:numPr>
      </w:pPr>
      <w:r>
        <w:t xml:space="preserve">Count of devices with no supplicant (MAB fallback)</w:t>
      </w:r>
    </w:p>
    <w:p>
      <w:pPr>
        <w:pStyle w:val="Compact"/>
        <w:numPr>
          <w:ilvl w:val="0"/>
          <w:numId w:val="1016"/>
        </w:numPr>
      </w:pPr>
      <w:r>
        <w:t xml:space="preserve">Count of devices with expired or missing certificates</w:t>
      </w:r>
    </w:p>
    <w:p>
      <w:pPr>
        <w:pStyle w:val="Compact"/>
        <w:numPr>
          <w:ilvl w:val="0"/>
          <w:numId w:val="1016"/>
        </w:numPr>
      </w:pPr>
      <w:r>
        <w:t xml:space="preserve">Count of unrecognized MAB devices</w:t>
      </w:r>
    </w:p>
    <w:p>
      <w:pPr>
        <w:pStyle w:val="FirstParagraph"/>
      </w:pPr>
      <w:r>
        <w:t xml:space="preserve">This report is the baseline for Phase 2 readiness.</w:t>
      </w:r>
    </w:p>
    <w:bookmarkEnd w:id="76"/>
    <w:bookmarkStart w:id="77"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7"/>
        </w:numPr>
      </w:pPr>
      <w:r>
        <w:t xml:space="preserve">Remediate all managed workstations with expired certificates (Intune SCEP profile re-push).</w:t>
      </w:r>
    </w:p>
    <w:p>
      <w:pPr>
        <w:pStyle w:val="Compact"/>
        <w:numPr>
          <w:ilvl w:val="0"/>
          <w:numId w:val="1017"/>
        </w:numPr>
      </w:pPr>
      <w:r>
        <w:t xml:space="preserve">Register all approved IoT/OT devices in the InfoBlox MAC database with device class tags.</w:t>
      </w:r>
    </w:p>
    <w:p>
      <w:pPr>
        <w:pStyle w:val="Compact"/>
        <w:numPr>
          <w:ilvl w:val="0"/>
          <w:numId w:val="1017"/>
        </w:numPr>
      </w:pPr>
      <w:r>
        <w:t xml:space="preserve">Configure the captive portal for the quarantine VLAN.</w:t>
      </w:r>
    </w:p>
    <w:p>
      <w:pPr>
        <w:pStyle w:val="Compact"/>
        <w:numPr>
          <w:ilvl w:val="0"/>
          <w:numId w:val="1017"/>
        </w:numPr>
      </w:pPr>
      <w:r>
        <w:t xml:space="preserve">Enable the CoA agent (Azure Function) and test the compliance-state-change VLAN reassignment.</w:t>
      </w:r>
    </w:p>
    <w:p>
      <w:pPr>
        <w:pStyle w:val="Compact"/>
        <w:numPr>
          <w:ilvl w:val="0"/>
          <w:numId w:val="1017"/>
        </w:numPr>
      </w:pPr>
      <w:r>
        <w:t xml:space="preserve">Enable the Sentinel analytics rules and configure alert routing to the SSA SOC.</w:t>
      </w:r>
    </w:p>
    <w:bookmarkEnd w:id="77"/>
    <w:bookmarkStart w:id="78"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8"/>
        </w:numPr>
      </w:pPr>
      <w:r>
        <w:t xml:space="preserve">Push the new WPA3-Enterprise Wi-Fi profile to all Intune-enrolled devices.</w:t>
      </w:r>
    </w:p>
    <w:p>
      <w:pPr>
        <w:pStyle w:val="Compact"/>
        <w:numPr>
          <w:ilvl w:val="0"/>
          <w:numId w:val="1018"/>
        </w:numPr>
      </w:pPr>
      <w:r>
        <w:t xml:space="preserve">The profile includes the EAP-TLS settings, RADIUS server certificate trust, and the SSID name.</w:t>
      </w:r>
    </w:p>
    <w:p>
      <w:pPr>
        <w:pStyle w:val="Compact"/>
        <w:numPr>
          <w:ilvl w:val="0"/>
          <w:numId w:val="1018"/>
        </w:numPr>
      </w:pPr>
      <w:r>
        <w:t xml:space="preserve">Devices connect to the new SSID automatically using the machine certificate.</w:t>
      </w:r>
    </w:p>
    <w:p>
      <w:pPr>
        <w:pStyle w:val="Compact"/>
        <w:numPr>
          <w:ilvl w:val="0"/>
          <w:numId w:val="1018"/>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8"/>
    <w:bookmarkStart w:id="79"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19"/>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19"/>
        </w:numPr>
      </w:pPr>
      <w:r>
        <w:t xml:space="preserve">Document the exception process for new IoT device deployments (asset registration in InfoBlox before deployment is a prerequisite for MAB approval).</w:t>
      </w:r>
    </w:p>
    <w:p>
      <w:pPr>
        <w:pStyle w:val="Compact"/>
        <w:numPr>
          <w:ilvl w:val="0"/>
          <w:numId w:val="1019"/>
        </w:numPr>
      </w:pPr>
      <w:r>
        <w:t xml:space="preserve">Conduct a tabletop exercise simulating a rogue device plugged into a conference room port — verify that the quarantine VLAN fires, Sentinel alerts, and the CoA agent responds correctly.</w:t>
      </w:r>
    </w:p>
    <w:bookmarkEnd w:id="79"/>
    <w:bookmarkEnd w:id="80"/>
    <w:bookmarkStart w:id="87"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84" w:name="fig-nac07"/>
          <w:p>
            <w:pPr>
              <w:pStyle w:val="Compact"/>
              <w:jc w:val="center"/>
            </w:pPr>
            <w:r>
              <w:drawing>
                <wp:inline>
                  <wp:extent cx="5334000" cy="3000375"/>
                  <wp:effectExtent b="0" l="0" r="0" t="0"/>
                  <wp:docPr descr="" title="" id="82" name="Picture"/>
                  <a:graphic>
                    <a:graphicData uri="http://schemas.openxmlformats.org/drawingml/2006/picture">
                      <pic:pic>
                        <pic:nvPicPr>
                          <pic:cNvPr descr="figs/nac-fig-07-nist-closure.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84"/>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87"/>
    <w:bookmarkStart w:id="88"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2026-07-06T12:02:26Z</dcterms:created>
  <dcterms:modified xsi:type="dcterms:W3CDTF">2026-07-06T12:02:26Z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