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Operator Usability Improvement Plan for OrgComp Day‑2 Automation Kit</w:t>
      </w:r>
    </w:p>
    <w:p>
      <w:r>
        <w:rPr>
          <w:b/>
          <w:bCs/>
          <w:rStyle w:val="Normal"/>
        </w:rPr>
        <w:t xml:space="preserve">Objective:</w:t>
      </w:r>
      <w:r>
        <w:rPr>
          <w:rStyle w:val="Normal"/>
        </w:rPr>
        <w:t xml:space="preserve"> Propose practical, concrete fixes to address previously identified operator </w:t>
      </w:r>
      <w:r>
        <w:rPr>
          <w:i/>
          <w:iCs/>
          <w:rStyle w:val="Normal"/>
        </w:rPr>
        <w:t xml:space="preserve">usability</w:t>
      </w:r>
      <w:r>
        <w:rPr>
          <w:rStyle w:val="Normal"/>
        </w:rPr>
        <w:t xml:space="preserve"> issues in the OrgComp Day‑2 Automation Kit (Current-State edition). These recommendations focus on </w:t>
      </w:r>
      <w:r>
        <w:rPr>
          <w:b/>
          <w:bCs/>
          <w:rStyle w:val="Normal"/>
        </w:rPr>
        <w:t xml:space="preserve">service-desk and CST operators’ experience</w:t>
      </w:r>
      <w:r>
        <w:rPr>
          <w:rStyle w:val="Normal"/>
        </w:rPr>
        <w:t xml:space="preserve">—ensuring day‑2 identity management tasks (e.g. password resets, MFA resets, joiner/mover/leaver changes, group updates, daily sync checks) are easier to execute, understand, and troubleshoot. Each fix is mapped to an original usability finding, with severity of the issue addressed, expected operator impact, estimated effort (Low/Medium/High), and where the fix would be implemented (documentation, in-tool UI, training, etc.). The highest-priority improvements are listed first.</w:t>
      </w:r>
    </w:p>
    <w:p>
      <w:r>
        <w:drawing>
          <wp:inline distT="0" distB="0" distL="0" distR="0">
            <wp:extent cx="5734050" cy="486727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4867275"/>
                    </a:xfrm>
                    <a:prstGeom prst="rect">
                      <a:avLst/>
                    </a:prstGeom>
                  </pic:spPr>
                </pic:pic>
              </a:graphicData>
            </a:graphic>
          </wp:inline>
        </w:drawing>
      </w:r>
    </w:p>
    <w:p>
      <w:pPr>
        <w:pBdr>
          <w:top w:val="single" w:color="auto" w:sz="12"/>
        </w:pBdr>
        <w:spacing w:after="0"/>
      </w:pPr>
    </w:p>
    <w:p>
      <w:pPr>
        <w:pStyle w:val="Heading2"/>
      </w:pPr>
      <w:r>
        <w:rPr>
          <w:rStyle w:val="Normal"/>
        </w:rPr>
        <w:t xml:space="preserve">1. </w:t>
      </w:r>
      <w:r>
        <w:rPr>
          <w:b/>
          <w:bCs/>
          <w:rStyle w:val="Normal"/>
        </w:rPr>
        <w:t xml:space="preserve">Improve Fail-Closed Task Troubleshooting &amp; Evidence Interpretation</w:t>
      </w:r>
    </w:p>
    <w:p>
      <w:r>
        <w:rPr>
          <w:b/>
          <w:bCs/>
          <w:rStyle w:val="Normal"/>
        </w:rPr>
        <w:t xml:space="preserve">Original Issue:</w:t>
      </w:r>
      <w:r>
        <w:rPr>
          <w:rStyle w:val="Normal"/>
        </w:rPr>
        <w:t xml:space="preserve"> </w:t>
      </w:r>
      <w:r>
        <w:rPr>
          <w:i/>
          <w:iCs/>
          <w:rStyle w:val="Normal"/>
        </w:rPr>
        <w:t xml:space="preserve">When tasks </w:t>
      </w:r>
      <w:r>
        <w:rPr>
          <w:b/>
          <w:bCs/>
          <w:i/>
          <w:iCs/>
          <w:rStyle w:val="Normal"/>
        </w:rPr>
        <w:t xml:space="preserve">fail closed</w:t>
      </w:r>
      <w:r>
        <w:rPr>
          <w:i/>
          <w:iCs/>
          <w:rStyle w:val="Normal"/>
        </w:rPr>
        <w:t xml:space="preserve"> (stop at a clause without completing), operators struggle to interpret the </w:t>
      </w:r>
      <w:r>
        <w:rPr>
          <w:b/>
          <w:bCs/>
          <w:i/>
          <w:iCs/>
          <w:rStyle w:val="Normal"/>
        </w:rPr>
        <w:t xml:space="preserve">evidence records</w:t>
      </w:r>
      <w:r>
        <w:rPr>
          <w:i/>
          <w:iCs/>
          <w:rStyle w:val="Normal"/>
        </w:rPr>
        <w:t xml:space="preserve"> and determine next steps; error details are buried in the raw evidence table, requiring manual inspection and deep knowledge of the workflow.</w:t>
      </w:r>
      <w:r>
        <w:rPr>
          <w:rStyle w:val="Normal"/>
        </w:rPr>
        <w:t xml:space="preserve"> This creates a </w:t>
      </w:r>
      <w:r>
        <w:rPr>
          <w:b/>
          <w:bCs/>
          <w:rStyle w:val="Normal"/>
        </w:rPr>
        <w:t xml:space="preserve">High-severity</w:t>
      </w:r>
      <w:r>
        <w:rPr>
          <w:rStyle w:val="Normal"/>
        </w:rPr>
        <w:t xml:space="preserve"> usability issue: it slows down recovery and risks operator error.</w:t>
      </w:r>
    </w:p>
    <w:p>
      <w:r>
        <w:rPr>
          <w:b/>
          <w:bCs/>
          <w:rStyle w:val="Normal"/>
        </w:rPr>
        <w:t xml:space="preserve">Recommended Fixes:</w:t>
      </w:r>
    </w:p>
    <w:p>
      <w:pPr>
        <w:pStyle w:val="ListParagraph"/>
        <w:pStyle w:val="ListParagraph"/>
        <w:numPr>
          <w:ilvl w:val="0"/>
          <w:numId w:val="1"/>
        </w:numPr>
        <w:numPr>
          <w:ilvl w:val="0"/>
          <w:numId w:val="2"/>
        </w:numPr>
      </w:pPr>
      <w:r>
        <w:rPr>
          <w:b/>
          <w:bCs/>
          <w:rStyle w:val="Normal"/>
        </w:rPr>
        <w:t xml:space="preserve">Surface Failure Reasons in the Ticket UI:</w:t>
      </w:r>
      <w:r>
        <w:rPr>
          <w:rStyle w:val="Normal"/>
        </w:rPr>
        <w:t xml:space="preserve"> </w:t>
      </w:r>
      <w:r>
        <w:rPr>
          <w:i/>
          <w:iCs/>
          <w:rStyle w:val="Normal"/>
        </w:rPr>
        <w:t xml:space="preserve">Display “stop conditions” and error causes directly on the ServiceNow request (RITM) record when a task fails.</w:t>
      </w:r>
      <w:r>
        <w:rPr>
          <w:rStyle w:val="Normal"/>
        </w:rPr>
        <w:t xml:space="preserve"> For example, when a request halts at a given clause (Authorize, Elevate, Actuate, Route, or Verify), automatically copy the </w:t>
      </w:r>
      <w:r>
        <w:rPr>
          <w:rStyle w:val="Quote"/>
        </w:rPr>
        <w:t xml:space="preserve">stopped_at</w:t>
      </w:r>
      <w:r>
        <w:rPr>
          <w:rStyle w:val="Normal"/>
        </w:rPr>
        <w:t xml:space="preserve"> code and key error details from the evidence table into the task’s Work Notes or a dedicated field on the RITM. This leverages data already captured by the orchestrator (e.g. the evidence record’s </w:t>
      </w:r>
      <w:r>
        <w:rPr>
          <w:rStyle w:val="Quote"/>
        </w:rPr>
        <w:t xml:space="preserve">stopped_at</w:t>
      </w:r>
      <w:r>
        <w:rPr>
          <w:rStyle w:val="Normal"/>
        </w:rPr>
        <w:t xml:space="preserve"> field indicates the failing clause). </w:t>
      </w:r>
      <w:r>
        <w:rPr>
          <w:b/>
          <w:bCs/>
          <w:rStyle w:val="Normal"/>
        </w:rPr>
        <w:t xml:space="preserve">Impact:</w:t>
      </w:r>
      <w:r>
        <w:rPr>
          <w:rStyle w:val="Normal"/>
        </w:rPr>
        <w:t xml:space="preserve"> Greatly speeds up operator understanding of what went wrong (e.g. “Failed at </w:t>
      </w:r>
      <w:r>
        <w:rPr>
          <w:b/>
          <w:bCs/>
          <w:rStyle w:val="Normal"/>
        </w:rPr>
        <w:t xml:space="preserve">elevate</w:t>
      </w:r>
      <w:r>
        <w:rPr>
          <w:rStyle w:val="Normal"/>
        </w:rPr>
        <w:t xml:space="preserve"> – PIM activation was denied”) without requiring a manual database lookup. </w:t>
      </w:r>
      <w:r>
        <w:rPr>
          <w:b/>
          <w:bCs/>
          <w:rStyle w:val="Normal"/>
        </w:rPr>
        <w:t xml:space="preserve">Effort:</w:t>
      </w:r>
      <w:r>
        <w:rPr>
          <w:rStyle w:val="Normal"/>
        </w:rPr>
        <w:t xml:space="preserve"> </w:t>
      </w:r>
      <w:r>
        <w:rPr>
          <w:i/>
          <w:iCs/>
          <w:rStyle w:val="Normal"/>
        </w:rPr>
        <w:t xml:space="preserve">Medium</w:t>
      </w:r>
      <w:r>
        <w:rPr>
          <w:rStyle w:val="Normal"/>
        </w:rPr>
        <w:t xml:space="preserve"> (ServiceNow form customization or Flow logic change). </w:t>
      </w:r>
      <w:r>
        <w:rPr>
          <w:b/>
          <w:bCs/>
          <w:rStyle w:val="Normal"/>
        </w:rPr>
        <w:t xml:space="preserve">Implementation:</w:t>
      </w:r>
      <w:r>
        <w:rPr>
          <w:rStyle w:val="Normal"/>
        </w:rPr>
        <w:t xml:space="preserve"> Update the “Governed Day-2 Request” Flow to include a step that, when a task stops, writes a clear-text explanation into the request’s comments or a visible field. This can draw from the MACD-R trail JSON or map the </w:t>
      </w:r>
      <w:r>
        <w:rPr>
          <w:rStyle w:val="Quote"/>
        </w:rPr>
        <w:t xml:space="preserve">stopped_at</w:t>
      </w:r>
      <w:r>
        <w:rPr>
          <w:rStyle w:val="Normal"/>
        </w:rPr>
        <w:t xml:space="preserve"> codes (Authorize, Elevate, Actuate, Route, Verify) to friendly messages. </w:t>
      </w:r>
      <w:r>
        <w:rPr>
          <w:i/>
          <w:iCs/>
          <w:rStyle w:val="Normal"/>
        </w:rPr>
        <w:t xml:space="preserve">Related Doc Sections:</w:t>
      </w:r>
      <w:r>
        <w:rPr>
          <w:rStyle w:val="Normal"/>
        </w:rPr>
        <w:t xml:space="preserve"> Operator Usage “When a request stops” (to inform which clues to display). Pilot Rollout “evidence record’s trail” (to emphasize capturing the trail). </w:t>
      </w:r>
      <w:hyperlink w:history="1" r:id="rIdcawdvfaut8gdokehjwf9i">
        <w:r>
          <w:rPr>
            <w:rStyle w:val="Hyperlink"/>
          </w:rPr>
          <w:t xml:space="preserve">[8_Operator_Runbook | Word]</w:t>
        </w:r>
      </w:hyperlink>
      <w:r>
        <w:rPr>
          <w:rStyle w:val="Normal"/>
        </w:rPr>
        <w:t xml:space="preserve"> </w:t>
      </w:r>
      <w:hyperlink w:history="1" r:id="rIdzkmh8maiv9bm0l9dowlkl">
        <w:r>
          <w:rPr>
            <w:rStyle w:val="Hyperlink"/>
          </w:rPr>
          <w:t xml:space="preserve">[3_Scripts | Word]</w:t>
        </w:r>
      </w:hyperlink>
      <w:r>
        <w:rPr>
          <w:rStyle w:val="Normal"/>
        </w:rPr>
        <w:t xml:space="preserve">, </w:t>
      </w:r>
      <w:hyperlink w:history="1" r:id="rIdvm4vqff0qjxzjnfwfmhp_">
        <w:r>
          <w:rPr>
            <w:rStyle w:val="Hyperlink"/>
          </w:rPr>
          <w:t xml:space="preserve">[3_Scripts | Word]</w:t>
        </w:r>
      </w:hyperlink>
    </w:p>
    <w:p>
      <w:pPr>
        <w:pStyle w:val="ListParagraph"/>
        <w:pStyle w:val="ListParagraph"/>
        <w:numPr>
          <w:ilvl w:val="0"/>
          <w:numId w:val="1"/>
        </w:numPr>
        <w:numPr>
          <w:ilvl w:val="0"/>
          <w:numId w:val="2"/>
        </w:numPr>
      </w:pPr>
      <w:r>
        <w:rPr>
          <w:b/>
          <w:bCs/>
          <w:rStyle w:val="Normal"/>
        </w:rPr>
        <w:t xml:space="preserve">Quick-Reference Fail-Closed Troubleshooting Guide:</w:t>
      </w:r>
      <w:r>
        <w:rPr>
          <w:rStyle w:val="Normal"/>
        </w:rPr>
        <w:t xml:space="preserve"> </w:t>
      </w:r>
      <w:r>
        <w:rPr>
          <w:i/>
          <w:iCs/>
          <w:rStyle w:val="Normal"/>
        </w:rPr>
        <w:t xml:space="preserve">Augment operator documentation with a dedicated troubleshooting matrix mapping each fail-closed clause to likely causes and resolution steps.</w:t>
      </w:r>
      <w:r>
        <w:rPr>
          <w:rStyle w:val="Normal"/>
        </w:rPr>
        <w:t xml:space="preserve"> For example, extend the </w:t>
      </w:r>
      <w:r>
        <w:rPr>
          <w:b/>
          <w:bCs/>
          <w:rStyle w:val="Normal"/>
        </w:rPr>
        <w:t xml:space="preserve">“When a request stops”</w:t>
      </w:r>
      <w:r>
        <w:rPr>
          <w:rStyle w:val="Normal"/>
        </w:rPr>
        <w:t xml:space="preserve"> section of the Operator Usage guide to include a table or list of </w:t>
      </w:r>
      <w:r>
        <w:rPr>
          <w:b/>
          <w:bCs/>
          <w:rStyle w:val="Normal"/>
        </w:rPr>
        <w:t xml:space="preserve">common root causes and actions</w:t>
      </w:r>
      <w:r>
        <w:rPr>
          <w:rStyle w:val="Normal"/>
        </w:rPr>
        <w:t xml:space="preserve">:</w:t>
      </w:r>
    </w:p>
    <w:p>
      <w:pPr>
        <w:pStyle w:val="ListParagraph"/>
        <w:pStyle w:val="ListParagraph"/>
        <w:numPr>
          <w:ilvl w:val="1"/>
          <w:numId w:val="1"/>
        </w:numPr>
        <w:numPr>
          <w:ilvl w:val="1"/>
          <w:numId w:val="2"/>
        </w:numPr>
      </w:pPr>
      <w:r>
        <w:rPr>
          <w:rStyle w:val="Normal"/>
        </w:rPr>
        <w:t xml:space="preserve">If stopped at </w:t>
      </w:r>
      <w:r>
        <w:rPr>
          <w:b/>
          <w:bCs/>
          <w:rStyle w:val="Normal"/>
        </w:rPr>
        <w:t xml:space="preserve">Authorize</w:t>
      </w:r>
      <w:r>
        <w:rPr>
          <w:rStyle w:val="Normal"/>
        </w:rPr>
        <w:t xml:space="preserve">: Check for segregation-of-duties issues (e.g. requester == approver) or missing approvals; involve the security office if a disabled account triggered a halt.</w:t>
      </w:r>
    </w:p>
    <w:p>
      <w:pPr>
        <w:pStyle w:val="ListParagraph"/>
        <w:pStyle w:val="ListParagraph"/>
        <w:numPr>
          <w:ilvl w:val="1"/>
          <w:numId w:val="1"/>
        </w:numPr>
        <w:numPr>
          <w:ilvl w:val="1"/>
          <w:numId w:val="2"/>
        </w:numPr>
      </w:pPr>
      <w:r>
        <w:rPr>
          <w:rStyle w:val="Normal"/>
        </w:rPr>
        <w:t xml:space="preserve">If </w:t>
      </w:r>
      <w:r>
        <w:rPr>
          <w:b/>
          <w:bCs/>
          <w:rStyle w:val="Normal"/>
        </w:rPr>
        <w:t xml:space="preserve">Elevate</w:t>
      </w:r>
      <w:r>
        <w:rPr>
          <w:rStyle w:val="Normal"/>
        </w:rPr>
        <w:t xml:space="preserve"> failed: Verify operator is PIM-eligible and PIM service is functioning; contact the PIM administrator if no </w:t>
      </w:r>
      <w:r>
        <w:rPr>
          <w:b/>
          <w:bCs/>
          <w:rStyle w:val="Normal"/>
        </w:rPr>
        <w:t xml:space="preserve">activation ID</w:t>
      </w:r>
      <w:r>
        <w:rPr>
          <w:rStyle w:val="Normal"/>
        </w:rPr>
        <w:t xml:space="preserve"> was returned. </w:t>
      </w:r>
      <w:hyperlink w:history="1" r:id="rId54soxd_wq0roy7scnewnk">
        <w:r>
          <w:rPr>
            <w:rStyle w:val="Hyperlink"/>
          </w:rPr>
          <w:t xml:space="preserve">[3_Scripts | Word]</w:t>
        </w:r>
      </w:hyperlink>
    </w:p>
    <w:p>
      <w:pPr>
        <w:pStyle w:val="ListParagraph"/>
        <w:pStyle w:val="ListParagraph"/>
        <w:numPr>
          <w:ilvl w:val="1"/>
          <w:numId w:val="1"/>
        </w:numPr>
        <w:numPr>
          <w:ilvl w:val="1"/>
          <w:numId w:val="2"/>
        </w:numPr>
      </w:pPr>
      <w:r>
        <w:rPr>
          <w:rStyle w:val="Normal"/>
        </w:rPr>
        <w:t xml:space="preserve">If </w:t>
      </w:r>
      <w:r>
        <w:rPr>
          <w:b/>
          <w:bCs/>
          <w:rStyle w:val="Normal"/>
        </w:rPr>
        <w:t xml:space="preserve">Actuate</w:t>
      </w:r>
      <w:r>
        <w:rPr>
          <w:rStyle w:val="Normal"/>
        </w:rPr>
        <w:t xml:space="preserve"> failed: Check system connectivity and permissions (e.g. MID Server to AD connectivity, delegated rights on target OU); escalate to platform or AD support teams for infrastructure issues. </w:t>
      </w:r>
      <w:hyperlink w:history="1" r:id="rIdzlzmom5hr1e6-ecc9pbyx">
        <w:r>
          <w:rPr>
            <w:rStyle w:val="Hyperlink"/>
          </w:rPr>
          <w:t xml:space="preserve">[3_Scripts | Word]</w:t>
        </w:r>
      </w:hyperlink>
    </w:p>
    <w:p>
      <w:pPr>
        <w:pStyle w:val="ListParagraph"/>
        <w:pStyle w:val="ListParagraph"/>
        <w:numPr>
          <w:ilvl w:val="1"/>
          <w:numId w:val="1"/>
        </w:numPr>
        <w:numPr>
          <w:ilvl w:val="1"/>
          <w:numId w:val="2"/>
        </w:numPr>
      </w:pPr>
      <w:r>
        <w:rPr>
          <w:rStyle w:val="Normal"/>
        </w:rPr>
        <w:t xml:space="preserve">If </w:t>
      </w:r>
      <w:r>
        <w:rPr>
          <w:b/>
          <w:bCs/>
          <w:rStyle w:val="Normal"/>
        </w:rPr>
        <w:t xml:space="preserve">Route</w:t>
      </w:r>
      <w:r>
        <w:rPr>
          <w:rStyle w:val="Normal"/>
        </w:rPr>
        <w:t xml:space="preserve"> failed: Likely an identity data issue (object not classified as AD or cloud); ensure the user’s on-premisesSyncEnabled attribute is set properly in Entra ID and re-run the request. </w:t>
      </w:r>
      <w:hyperlink w:history="1" r:id="rId2753ux6qlwnjtd2dtqwyl">
        <w:r>
          <w:rPr>
            <w:rStyle w:val="Hyperlink"/>
          </w:rPr>
          <w:t xml:space="preserve">[3_Scripts | Word]</w:t>
        </w:r>
      </w:hyperlink>
    </w:p>
    <w:p>
      <w:pPr>
        <w:pStyle w:val="ListParagraph"/>
        <w:pStyle w:val="ListParagraph"/>
        <w:numPr>
          <w:ilvl w:val="1"/>
          <w:numId w:val="1"/>
        </w:numPr>
        <w:numPr>
          <w:ilvl w:val="1"/>
          <w:numId w:val="2"/>
        </w:numPr>
      </w:pPr>
      <w:r>
        <w:rPr>
          <w:rStyle w:val="Normal"/>
        </w:rPr>
        <w:t xml:space="preserve">If </w:t>
      </w:r>
      <w:r>
        <w:rPr>
          <w:b/>
          <w:bCs/>
          <w:rStyle w:val="Normal"/>
        </w:rPr>
        <w:t xml:space="preserve">Verify</w:t>
      </w:r>
      <w:r>
        <w:rPr>
          <w:rStyle w:val="Normal"/>
        </w:rPr>
        <w:t xml:space="preserve"> failed: Determine if the change actually occurred but wasn’t confirmed (e.g. AD changes not yet synced to cloud). If so, allow time for directory synchronization and re-trigger verification. Otherwise, treat as an incomplete change and escalate to Tier-3 support (identity governance team) for investigation.</w:t>
      </w:r>
      <w:r>
        <w:br/>
      </w:r>
      <w:r>
        <w:rPr>
          <w:b/>
          <w:bCs/>
          <w:rStyle w:val="Normal"/>
        </w:rPr>
        <w:t xml:space="preserve">Impact:</w:t>
      </w:r>
      <w:r>
        <w:rPr>
          <w:rStyle w:val="Normal"/>
        </w:rPr>
        <w:t xml:space="preserve"> Reduces operator confusion by providing </w:t>
      </w:r>
      <w:r>
        <w:rPr>
          <w:b/>
          <w:bCs/>
          <w:rStyle w:val="Normal"/>
        </w:rPr>
        <w:t xml:space="preserve">clear resolution steps and escalation paths</w:t>
      </w:r>
      <w:r>
        <w:rPr>
          <w:rStyle w:val="Normal"/>
        </w:rPr>
        <w:t xml:space="preserve"> for each failure mode. Operators know exactly how to proceed or whom to notify (e.g. security team for authorization halts, identity admin for data classification issues, AD team for domain connectivity issues, etc.). </w:t>
      </w:r>
      <w:r>
        <w:rPr>
          <w:b/>
          <w:bCs/>
          <w:rStyle w:val="Normal"/>
        </w:rPr>
        <w:t xml:space="preserve">Effort:</w:t>
      </w:r>
      <w:r>
        <w:rPr>
          <w:rStyle w:val="Normal"/>
        </w:rPr>
        <w:t xml:space="preserve"> </w:t>
      </w:r>
      <w:r>
        <w:rPr>
          <w:i/>
          <w:iCs/>
          <w:rStyle w:val="Normal"/>
        </w:rPr>
        <w:t xml:space="preserve">Low</w:t>
      </w:r>
      <w:r>
        <w:rPr>
          <w:rStyle w:val="Normal"/>
        </w:rPr>
        <w:t xml:space="preserve"> (documentation update; no code changes). </w:t>
      </w:r>
      <w:r>
        <w:rPr>
          <w:b/>
          <w:bCs/>
          <w:rStyle w:val="Normal"/>
        </w:rPr>
        <w:t xml:space="preserve">Implementation:</w:t>
      </w:r>
      <w:r>
        <w:rPr>
          <w:rStyle w:val="Normal"/>
        </w:rPr>
        <w:t xml:space="preserve"> Update the </w:t>
      </w:r>
      <w:r>
        <w:rPr>
          <w:b/>
          <w:bCs/>
          <w:rStyle w:val="Normal"/>
        </w:rPr>
        <w:t xml:space="preserve">Operator Runbook</w:t>
      </w:r>
      <w:r>
        <w:rPr>
          <w:rStyle w:val="Normal"/>
        </w:rPr>
        <w:t xml:space="preserve"> or </w:t>
      </w:r>
      <w:r>
        <w:rPr>
          <w:b/>
          <w:bCs/>
          <w:rStyle w:val="Normal"/>
        </w:rPr>
        <w:t xml:space="preserve">Usage Guide</w:t>
      </w:r>
      <w:r>
        <w:rPr>
          <w:rStyle w:val="Normal"/>
        </w:rPr>
        <w:t xml:space="preserve"> to include this troubleshooting section right after the description of fail-closed “stop” outcomes. </w:t>
      </w:r>
      <w:r>
        <w:rPr>
          <w:i/>
          <w:iCs/>
          <w:rStyle w:val="Normal"/>
        </w:rPr>
        <w:t xml:space="preserve">Related Doc Sections:</w:t>
      </w:r>
      <w:r>
        <w:rPr>
          <w:rStyle w:val="Normal"/>
        </w:rPr>
        <w:t xml:space="preserve"> Operator Usage “When a request stops” list of stop reasons; Pilot Rollout entry/exit criteria emphasizing no silent failures. </w:t>
      </w:r>
      <w:hyperlink w:history="1" r:id="rIdvz-xosmexpk77oz_dva6y">
        <w:r>
          <w:rPr>
            <w:rStyle w:val="Hyperlink"/>
          </w:rPr>
          <w:t xml:space="preserve">[3_Scripts | Word]</w:t>
        </w:r>
      </w:hyperlink>
      <w:r>
        <w:rPr>
          <w:rStyle w:val="Normal"/>
        </w:rPr>
        <w:t xml:space="preserve"> </w:t>
      </w:r>
      <w:hyperlink w:history="1" r:id="rIdourkhfr_6fgwn3ptgpz0l">
        <w:r>
          <w:rPr>
            <w:rStyle w:val="Hyperlink"/>
          </w:rPr>
          <w:t xml:space="preserve">[9_Pilot_Rollout | Word]</w:t>
        </w:r>
      </w:hyperlink>
      <w:r>
        <w:rPr>
          <w:rStyle w:val="Normal"/>
        </w:rPr>
        <w:t xml:space="preserve">, </w:t>
      </w:r>
      <w:hyperlink w:history="1" r:id="rIdgx-v_6v7zcgfeejjedoq6">
        <w:r>
          <w:rPr>
            <w:rStyle w:val="Hyperlink"/>
          </w:rPr>
          <w:t xml:space="preserve">[9_Pilot_Rollout | Word]</w:t>
        </w:r>
      </w:hyperlink>
    </w:p>
    <w:p>
      <w:pPr>
        <w:pStyle w:val="ListParagraph"/>
        <w:pStyle w:val="ListParagraph"/>
        <w:numPr>
          <w:ilvl w:val="0"/>
          <w:numId w:val="1"/>
        </w:numPr>
        <w:numPr>
          <w:ilvl w:val="0"/>
          <w:numId w:val="2"/>
        </w:numPr>
      </w:pPr>
      <w:r>
        <w:rPr>
          <w:b/>
          <w:bCs/>
          <w:rStyle w:val="Normal"/>
        </w:rPr>
        <w:t xml:space="preserve">Enhance </w:t>
      </w:r>
      <w:r>
        <w:rPr>
          <w:b/>
          <w:bCs/>
          <w:rStyle w:val="Normal"/>
        </w:rPr>
        <w:t xml:space="preserve">Evidence Record</w:t>
      </w:r>
      <w:r>
        <w:rPr>
          <w:b/>
          <w:bCs/>
          <w:rStyle w:val="Normal"/>
        </w:rPr>
        <w:t xml:space="preserve"> Usability:</w:t>
      </w:r>
      <w:r>
        <w:rPr>
          <w:rStyle w:val="Normal"/>
        </w:rPr>
        <w:t xml:space="preserve"> </w:t>
      </w:r>
      <w:r>
        <w:rPr>
          <w:i/>
          <w:iCs/>
          <w:rStyle w:val="Normal"/>
        </w:rPr>
        <w:t xml:space="preserve">Provide friendlier ways for operators to view and interpret evidence records.</w:t>
      </w:r>
      <w:r>
        <w:rPr>
          <w:rStyle w:val="Normal"/>
        </w:rPr>
        <w:t xml:space="preserve"> Options include building a simple </w:t>
      </w:r>
      <w:r>
        <w:rPr>
          <w:b/>
          <w:bCs/>
          <w:rStyle w:val="Normal"/>
        </w:rPr>
        <w:t xml:space="preserve">evidence viewer</w:t>
      </w:r>
      <w:r>
        <w:rPr>
          <w:rStyle w:val="Normal"/>
        </w:rPr>
        <w:t xml:space="preserve"> UI (within ServiceNow or an external tool) that formats the JSON trail into an easy-to-read sequence of steps and outcomes, highlighting the failure point. At minimum, ensure operators have </w:t>
      </w:r>
      <w:r>
        <w:rPr>
          <w:b/>
          <w:bCs/>
          <w:rStyle w:val="Normal"/>
        </w:rPr>
        <w:t xml:space="preserve">easy access to key evidence fields</w:t>
      </w:r>
      <w:r>
        <w:rPr>
          <w:rStyle w:val="Normal"/>
        </w:rPr>
        <w:t xml:space="preserve"> without needing deep platform queries. For instance, the evidence table’s fields (</w:t>
      </w:r>
      <w:r>
        <w:rPr>
          <w:rStyle w:val="Quote"/>
        </w:rPr>
        <w:t xml:space="preserve">verdict</w:t>
      </w:r>
      <w:r>
        <w:rPr>
          <w:rStyle w:val="Normal"/>
        </w:rPr>
        <w:t xml:space="preserve">, </w:t>
      </w:r>
      <w:r>
        <w:rPr>
          <w:rStyle w:val="Quote"/>
        </w:rPr>
        <w:t xml:space="preserve">approver</w:t>
      </w:r>
      <w:r>
        <w:rPr>
          <w:rStyle w:val="Normal"/>
        </w:rPr>
        <w:t xml:space="preserve">, </w:t>
      </w:r>
      <w:r>
        <w:rPr>
          <w:rStyle w:val="Quote"/>
        </w:rPr>
        <w:t xml:space="preserve">pim_activation_id</w:t>
      </w:r>
      <w:r>
        <w:rPr>
          <w:rStyle w:val="Normal"/>
        </w:rPr>
        <w:t xml:space="preserve">, etc.) could be made readable via related lists or reports linked to the task. </w:t>
      </w:r>
      <w:r>
        <w:rPr>
          <w:b/>
          <w:bCs/>
          <w:rStyle w:val="Normal"/>
        </w:rPr>
        <w:t xml:space="preserve">Impact:</w:t>
      </w:r>
      <w:r>
        <w:rPr>
          <w:rStyle w:val="Normal"/>
        </w:rPr>
        <w:t xml:space="preserve"> Lowers cognitive load in diagnosing issues by translating raw data into human-readable insights (e.g., showing “Approval: </w:t>
      </w:r>
      <w:r>
        <w:rPr>
          <w:i/>
          <w:iCs/>
          <w:rStyle w:val="Normal"/>
        </w:rPr>
        <w:t xml:space="preserve">Denied by John Doe on MM/DD</w:t>
      </w:r>
      <w:r>
        <w:rPr>
          <w:rStyle w:val="Normal"/>
        </w:rPr>
        <w:t xml:space="preserve">” or “Verification: </w:t>
      </w:r>
      <w:r>
        <w:rPr>
          <w:i/>
          <w:iCs/>
          <w:rStyle w:val="Normal"/>
        </w:rPr>
        <w:t xml:space="preserve">Password change not detected, likely sync delay</w:t>
      </w:r>
      <w:r>
        <w:rPr>
          <w:rStyle w:val="Normal"/>
        </w:rPr>
        <w:t xml:space="preserve">”). </w:t>
      </w:r>
      <w:r>
        <w:rPr>
          <w:b/>
          <w:bCs/>
          <w:rStyle w:val="Normal"/>
        </w:rPr>
        <w:t xml:space="preserve">Effort:</w:t>
      </w:r>
      <w:r>
        <w:rPr>
          <w:rStyle w:val="Normal"/>
        </w:rPr>
        <w:t xml:space="preserve"> </w:t>
      </w:r>
      <w:r>
        <w:rPr>
          <w:i/>
          <w:iCs/>
          <w:rStyle w:val="Normal"/>
        </w:rPr>
        <w:t xml:space="preserve">Medium</w:t>
      </w:r>
      <w:r>
        <w:rPr>
          <w:rStyle w:val="Normal"/>
        </w:rPr>
        <w:t xml:space="preserve"> (some development of new UI or reports). </w:t>
      </w:r>
      <w:r>
        <w:rPr>
          <w:b/>
          <w:bCs/>
          <w:rStyle w:val="Normal"/>
        </w:rPr>
        <w:t xml:space="preserve">Implementation:</w:t>
      </w:r>
      <w:r>
        <w:rPr>
          <w:rStyle w:val="Normal"/>
        </w:rPr>
        <w:t xml:space="preserve"> Create a ServiceNow report or dashboard for evidence (leveraging the </w:t>
      </w:r>
      <w:r>
        <w:rPr>
          <w:rStyle w:val="Quote"/>
        </w:rPr>
        <w:t xml:space="preserve">x_fed_day2_ops_evidence</w:t>
      </w:r>
      <w:r>
        <w:rPr>
          <w:rStyle w:val="Normal"/>
        </w:rPr>
        <w:t xml:space="preserve"> table schema from the Build Spec) and link it in the operator console. Alternatively, provide a script to fetch and display the relevant evidence for a given RITM, which operators can run as a UI action. </w:t>
      </w:r>
      <w:r>
        <w:rPr>
          <w:i/>
          <w:iCs/>
          <w:rStyle w:val="Normal"/>
        </w:rPr>
        <w:t xml:space="preserve">Related Doc Sections:</w:t>
      </w:r>
      <w:r>
        <w:rPr>
          <w:rStyle w:val="Normal"/>
        </w:rPr>
        <w:t xml:space="preserve"> Build Specification §2a “x_fed_day2_ops_evidence” table (lists all fields that could be displayed); Pilot Rollout §2 “stop-and-diagnose” guidance. </w:t>
      </w:r>
      <w:hyperlink w:history="1" r:id="rIdawuernqt4pptrraln-8pf">
        <w:r>
          <w:rPr>
            <w:rStyle w:val="Hyperlink"/>
          </w:rPr>
          <w:t xml:space="preserve">[8_Operator_Runbook | Word]</w:t>
        </w:r>
      </w:hyperlink>
      <w:r>
        <w:rPr>
          <w:rStyle w:val="Normal"/>
        </w:rPr>
        <w:t xml:space="preserve">, </w:t>
      </w:r>
      <w:hyperlink w:history="1" r:id="rIdaegnr-jbq1df61je564dg">
        <w:r>
          <w:rPr>
            <w:rStyle w:val="Hyperlink"/>
          </w:rPr>
          <w:t xml:space="preserve">[8_Operator_Runbook | Word]</w:t>
        </w:r>
      </w:hyperlink>
      <w:r>
        <w:rPr>
          <w:rStyle w:val="Normal"/>
        </w:rPr>
        <w:t xml:space="preserve"> </w:t>
      </w:r>
      <w:hyperlink w:history="1" r:id="rIdqeglo2vsafxayujrhuq44">
        <w:r>
          <w:rPr>
            <w:rStyle w:val="Hyperlink"/>
          </w:rPr>
          <w:t xml:space="preserve">[8_Operator_Runbook | Word]</w:t>
        </w:r>
      </w:hyperlink>
    </w:p>
    <w:p>
      <w:pPr>
        <w:pBdr>
          <w:top w:val="single" w:color="auto" w:sz="12"/>
        </w:pBdr>
        <w:spacing w:after="0"/>
      </w:pPr>
    </w:p>
    <w:p>
      <w:pPr>
        <w:pStyle w:val="Heading2"/>
      </w:pPr>
      <w:r>
        <w:rPr>
          <w:rStyle w:val="Normal"/>
        </w:rPr>
        <w:t xml:space="preserve">2. </w:t>
      </w:r>
      <w:r>
        <w:rPr>
          <w:b/>
          <w:bCs/>
          <w:rStyle w:val="Normal"/>
        </w:rPr>
        <w:t xml:space="preserve">Reduce Cognitive Load from Complex Terminology &amp; Processes</w:t>
      </w:r>
    </w:p>
    <w:p>
      <w:r>
        <w:rPr>
          <w:b/>
          <w:bCs/>
          <w:rStyle w:val="Normal"/>
        </w:rPr>
        <w:t xml:space="preserve">Original Issue:</w:t>
      </w:r>
      <w:r>
        <w:rPr>
          <w:rStyle w:val="Normal"/>
        </w:rPr>
        <w:t xml:space="preserve"> *Operators are overwhelmed by *</w:t>
      </w:r>
      <w:r>
        <w:rPr>
          <w:i/>
          <w:iCs/>
          <w:rStyle w:val="Normal"/>
        </w:rPr>
        <w:t xml:space="preserve">OrgComp’s heavy use of compliance jargon, abbreviations (SSOT, KSI, MACD-R, etc.), and cross-references to NIST controls and policy volumes. This creates a </w:t>
      </w:r>
      <w:r>
        <w:rPr>
          <w:b/>
          <w:bCs/>
          <w:i/>
          <w:iCs/>
          <w:rStyle w:val="Normal"/>
        </w:rPr>
        <w:t xml:space="preserve">High-severity</w:t>
      </w:r>
      <w:r>
        <w:rPr>
          <w:i/>
          <w:iCs/>
          <w:rStyle w:val="Normal"/>
        </w:rPr>
        <w:t xml:space="preserve"> risk of misinterpretation or missed steps if operators don’t fully absorb the formal documentation.</w:t>
      </w:r>
      <w:r>
        <w:rPr>
          <w:rStyle w:val="Normal"/>
        </w:rPr>
        <w:t xml:space="preserve"> </w:t>
      </w:r>
      <w:hyperlink w:history="1" r:id="rIdjiszw0dhfuzqmixt_0loz">
        <w:r>
          <w:rPr>
            <w:rStyle w:val="Hyperlink"/>
          </w:rPr>
          <w:t xml:space="preserve">[5_Operator_Usage | Word]</w:t>
        </w:r>
      </w:hyperlink>
      <w:r>
        <w:rPr>
          <w:rStyle w:val="Normal"/>
        </w:rPr>
        <w:t xml:space="preserve">, </w:t>
      </w:r>
      <w:hyperlink w:history="1" r:id="rIdqcp2kp0rkxbzvn7xvvjz5">
        <w:r>
          <w:rPr>
            <w:rStyle w:val="Hyperlink"/>
          </w:rPr>
          <w:t xml:space="preserve">[5_Operator_Usage | Word]</w:t>
        </w:r>
      </w:hyperlink>
    </w:p>
    <w:p>
      <w:r>
        <w:rPr>
          <w:b/>
          <w:bCs/>
          <w:rStyle w:val="Normal"/>
        </w:rPr>
        <w:t xml:space="preserve">Recommended Fixes:</w:t>
      </w:r>
    </w:p>
    <w:p>
      <w:pPr>
        <w:pStyle w:val="ListParagraph"/>
        <w:pStyle w:val="ListParagraph"/>
        <w:numPr>
          <w:ilvl w:val="0"/>
          <w:numId w:val="1"/>
        </w:numPr>
        <w:numPr>
          <w:ilvl w:val="0"/>
          <w:numId w:val="3"/>
        </w:numPr>
      </w:pPr>
      <w:r>
        <w:rPr>
          <w:b/>
          <w:bCs/>
          <w:rStyle w:val="Normal"/>
        </w:rPr>
        <w:t xml:space="preserve">Simplify Language in Operator Materials:</w:t>
      </w:r>
      <w:r>
        <w:rPr>
          <w:rStyle w:val="Normal"/>
        </w:rPr>
        <w:t xml:space="preserve"> </w:t>
      </w:r>
      <w:r>
        <w:rPr>
          <w:i/>
          <w:iCs/>
          <w:rStyle w:val="Normal"/>
        </w:rPr>
        <w:t xml:space="preserve">Review and revise operator-facing documents (runbooks, usage guides) to use plainer language and define necessary acronyms in context.</w:t>
      </w:r>
      <w:r>
        <w:rPr>
          <w:rStyle w:val="Normal"/>
        </w:rPr>
        <w:t xml:space="preserve"> For example, the </w:t>
      </w:r>
      <w:r>
        <w:rPr>
          <w:b/>
          <w:bCs/>
          <w:rStyle w:val="Normal"/>
        </w:rPr>
        <w:t xml:space="preserve">Operator Runbook</w:t>
      </w:r>
      <w:r>
        <w:rPr>
          <w:rStyle w:val="Normal"/>
        </w:rPr>
        <w:t xml:space="preserve"> currently introduces multiple OrgComp concepts (MACD-R, KSI, control IDs) in quick succession. Rather than expecting service-desk staff to be fluent in OrgComp and NIST terminology, rewrite key sections with </w:t>
      </w:r>
      <w:r>
        <w:rPr>
          <w:b/>
          <w:bCs/>
          <w:rStyle w:val="Normal"/>
        </w:rPr>
        <w:t xml:space="preserve">operator-friendly phrasing</w:t>
      </w:r>
      <w:r>
        <w:rPr>
          <w:rStyle w:val="Normal"/>
        </w:rPr>
        <w:t xml:space="preserve">. E.g., explain “source of truth (SSOT) system” as “the official system of record (e.g., HR database for employee info)” on first use, instead of only using the acronym. Provide pop-up tooltips or footnotes in digital docs for terms like </w:t>
      </w:r>
      <w:r>
        <w:rPr>
          <w:i/>
          <w:iCs/>
          <w:rStyle w:val="Normal"/>
        </w:rPr>
        <w:t xml:space="preserve">MACD-R, KSI, AC-2</w:t>
      </w:r>
      <w:r>
        <w:rPr>
          <w:rStyle w:val="Normal"/>
        </w:rPr>
        <w:t xml:space="preserve"> so operators can easily refresh on definitions. </w:t>
      </w:r>
      <w:r>
        <w:rPr>
          <w:b/>
          <w:bCs/>
          <w:rStyle w:val="Normal"/>
        </w:rPr>
        <w:t xml:space="preserve">Impact:</w:t>
      </w:r>
      <w:r>
        <w:rPr>
          <w:rStyle w:val="Normal"/>
        </w:rPr>
        <w:t xml:space="preserve"> Improves </w:t>
      </w:r>
      <w:r>
        <w:rPr>
          <w:b/>
          <w:bCs/>
          <w:rStyle w:val="Normal"/>
        </w:rPr>
        <w:t xml:space="preserve">comprehension and learnability</w:t>
      </w:r>
      <w:r>
        <w:rPr>
          <w:rStyle w:val="Normal"/>
        </w:rPr>
        <w:t xml:space="preserve">, reducing the chance that operators miss compliance steps due to misunderstanding. </w:t>
      </w:r>
      <w:r>
        <w:rPr>
          <w:b/>
          <w:bCs/>
          <w:rStyle w:val="Normal"/>
        </w:rPr>
        <w:t xml:space="preserve">Effort:</w:t>
      </w:r>
      <w:r>
        <w:rPr>
          <w:rStyle w:val="Normal"/>
        </w:rPr>
        <w:t xml:space="preserve"> </w:t>
      </w:r>
      <w:r>
        <w:rPr>
          <w:i/>
          <w:iCs/>
          <w:rStyle w:val="Normal"/>
        </w:rPr>
        <w:t xml:space="preserve">Medium</w:t>
      </w:r>
      <w:r>
        <w:rPr>
          <w:rStyle w:val="Normal"/>
        </w:rPr>
        <w:t xml:space="preserve"> (editing documentation; minor UI tooltip additions). </w:t>
      </w:r>
      <w:r>
        <w:rPr>
          <w:b/>
          <w:bCs/>
          <w:rStyle w:val="Normal"/>
        </w:rPr>
        <w:t xml:space="preserve">Implementation:</w:t>
      </w:r>
      <w:r>
        <w:rPr>
          <w:rStyle w:val="Normal"/>
        </w:rPr>
        <w:t xml:space="preserve"> Update the </w:t>
      </w:r>
      <w:r>
        <w:rPr>
          <w:b/>
          <w:bCs/>
          <w:rStyle w:val="Normal"/>
        </w:rPr>
        <w:t xml:space="preserve">Day-2 Operator Runbook</w:t>
      </w:r>
      <w:r>
        <w:rPr>
          <w:rStyle w:val="Normal"/>
        </w:rPr>
        <w:t xml:space="preserve"> introduction and task descriptions for clarity (e.g., define all five MACD-R clauses in a simple checklist format, with minimal references to policy volume numbers in-line). Also ensure the </w:t>
      </w:r>
      <w:r>
        <w:rPr>
          <w:b/>
          <w:bCs/>
          <w:rStyle w:val="Normal"/>
        </w:rPr>
        <w:t xml:space="preserve">catalog item descriptions</w:t>
      </w:r>
      <w:r>
        <w:rPr>
          <w:rStyle w:val="Normal"/>
        </w:rPr>
        <w:t xml:space="preserve"> in ServiceNow use clear, plain language to summarize what the task does and its key requirements (for instance, indicating if two approvals or identity verification are needed, in everyday terms). </w:t>
      </w:r>
      <w:hyperlink w:history="1" r:id="rId3w-cguk9bgy6xd_cmbcra">
        <w:r>
          <w:rPr>
            <w:rStyle w:val="Hyperlink"/>
          </w:rPr>
          <w:t xml:space="preserve">[5_Operator_Usage | Word]</w:t>
        </w:r>
      </w:hyperlink>
      <w:r>
        <w:rPr>
          <w:rStyle w:val="Normal"/>
        </w:rPr>
        <w:t xml:space="preserve"> </w:t>
      </w:r>
      <w:hyperlink w:history="1" r:id="rIdp1armpmjv8lpe_xznlyto">
        <w:r>
          <w:rPr>
            <w:rStyle w:val="Hyperlink"/>
          </w:rPr>
          <w:t xml:space="preserve">[5_Operator_Usage | Word]</w:t>
        </w:r>
      </w:hyperlink>
      <w:r>
        <w:rPr>
          <w:rStyle w:val="Normal"/>
        </w:rPr>
        <w:t xml:space="preserve">, </w:t>
      </w:r>
      <w:hyperlink w:history="1" r:id="rIdlujomtrltag0ov5cm8l6h">
        <w:r>
          <w:rPr>
            <w:rStyle w:val="Hyperlink"/>
          </w:rPr>
          <w:t xml:space="preserve">[5_Operator_Usage | Word]</w:t>
        </w:r>
      </w:hyperlink>
    </w:p>
    <w:p>
      <w:pPr>
        <w:pStyle w:val="ListParagraph"/>
        <w:pStyle w:val="ListParagraph"/>
        <w:numPr>
          <w:ilvl w:val="0"/>
          <w:numId w:val="1"/>
        </w:numPr>
        <w:numPr>
          <w:ilvl w:val="0"/>
          <w:numId w:val="3"/>
        </w:numPr>
      </w:pPr>
      <w:r>
        <w:rPr>
          <w:rStyle w:val="Normal"/>
        </w:rPr>
        <w:t xml:space="preserve">*</w:t>
      </w:r>
      <w:r>
        <w:rPr>
          <w:i/>
          <w:iCs/>
          <w:rStyle w:val="Normal"/>
        </w:rPr>
        <w:t xml:space="preserve">Create an OrgComp </w:t>
      </w:r>
      <w:r>
        <w:rPr>
          <w:b/>
          <w:bCs/>
          <w:i/>
          <w:iCs/>
          <w:rStyle w:val="Normal"/>
        </w:rPr>
        <w:t xml:space="preserve">Glossary &amp; Acronym Cheat-Sheet:</w:t>
      </w:r>
      <w:r>
        <w:rPr>
          <w:rStyle w:val="Normal"/>
        </w:rPr>
        <w:t xml:space="preserve"> Develop a one-page </w:t>
      </w:r>
      <w:r>
        <w:rPr>
          <w:b/>
          <w:bCs/>
          <w:rStyle w:val="Normal"/>
        </w:rPr>
        <w:t xml:space="preserve">Glossary</w:t>
      </w:r>
      <w:r>
        <w:rPr>
          <w:rStyle w:val="Normal"/>
        </w:rPr>
        <w:t xml:space="preserve"> for operators that lists OrgComp-specific terms and abbreviations (like SSOT, SoD, MACD-R, PAG, KSI) with simple definitions. This could be included as an appendix in the operator guide or as a quick-reference card. Additionally, incorporate this glossary into training sessions. Encourage operators to refer to this sheet during their initial learning curve. </w:t>
      </w:r>
      <w:r>
        <w:rPr>
          <w:b/>
          <w:bCs/>
          <w:rStyle w:val="Normal"/>
        </w:rPr>
        <w:t xml:space="preserve">Impact:</w:t>
      </w:r>
      <w:r>
        <w:rPr>
          <w:rStyle w:val="Normal"/>
        </w:rPr>
        <w:t xml:space="preserve"> Lowers cognitive burden by giving operators a fallback for unfamiliar terms, increasing confidence and reducing errors. </w:t>
      </w:r>
      <w:r>
        <w:rPr>
          <w:b/>
          <w:bCs/>
          <w:rStyle w:val="Normal"/>
        </w:rPr>
        <w:t xml:space="preserve">Effort:</w:t>
      </w:r>
      <w:r>
        <w:rPr>
          <w:rStyle w:val="Normal"/>
        </w:rPr>
        <w:t xml:space="preserve"> </w:t>
      </w:r>
      <w:r>
        <w:rPr>
          <w:i/>
          <w:iCs/>
          <w:rStyle w:val="Normal"/>
        </w:rPr>
        <w:t xml:space="preserve">Low</w:t>
      </w:r>
      <w:r>
        <w:rPr>
          <w:rStyle w:val="Normal"/>
        </w:rPr>
        <w:t xml:space="preserve"> (documentation addition). </w:t>
      </w:r>
      <w:r>
        <w:rPr>
          <w:b/>
          <w:bCs/>
          <w:rStyle w:val="Normal"/>
        </w:rPr>
        <w:t xml:space="preserve">Implementation:</w:t>
      </w:r>
      <w:r>
        <w:rPr>
          <w:rStyle w:val="Normal"/>
        </w:rPr>
        <w:t xml:space="preserve"> Add a glossary section to the </w:t>
      </w:r>
      <w:r>
        <w:rPr>
          <w:b/>
          <w:bCs/>
          <w:rStyle w:val="Normal"/>
        </w:rPr>
        <w:t xml:space="preserve">Operator Handbook</w:t>
      </w:r>
      <w:r>
        <w:rPr>
          <w:rStyle w:val="Normal"/>
        </w:rPr>
        <w:t xml:space="preserve"> with entries for key terms found in the runbook and usage guides (e.g., “</w:t>
      </w:r>
      <w:r>
        <w:rPr>
          <w:b/>
          <w:bCs/>
          <w:rStyle w:val="Normal"/>
        </w:rPr>
        <w:t xml:space="preserve">MACD-R</w:t>
      </w:r>
      <w:r>
        <w:rPr>
          <w:rStyle w:val="Normal"/>
        </w:rPr>
        <w:t xml:space="preserve"> – </w:t>
      </w:r>
      <w:r>
        <w:rPr>
          <w:i/>
          <w:iCs/>
          <w:rStyle w:val="Normal"/>
        </w:rPr>
        <w:t xml:space="preserve">Move/Add/Change/Deactivate/Reset, the five types of identity operations that each request is categorized into</w:t>
      </w:r>
      <w:r>
        <w:rPr>
          <w:rStyle w:val="Normal"/>
        </w:rPr>
        <w:t xml:space="preserve">”). </w:t>
      </w:r>
      <w:hyperlink w:history="1" r:id="rIdaseaa_6kbq5hl7qpyfrfc">
        <w:r>
          <w:rPr>
            <w:rStyle w:val="Hyperlink"/>
          </w:rPr>
          <w:t xml:space="preserve">[5_Operator_Usage | Word]</w:t>
        </w:r>
      </w:hyperlink>
    </w:p>
    <w:p>
      <w:pPr>
        <w:pStyle w:val="ListParagraph"/>
        <w:pStyle w:val="ListParagraph"/>
        <w:numPr>
          <w:ilvl w:val="0"/>
          <w:numId w:val="1"/>
        </w:numPr>
        <w:numPr>
          <w:ilvl w:val="0"/>
          <w:numId w:val="3"/>
        </w:numPr>
      </w:pPr>
      <w:r>
        <w:rPr>
          <w:b/>
          <w:bCs/>
          <w:rStyle w:val="Normal"/>
        </w:rPr>
        <w:t xml:space="preserve">Tailored Training with Simulated Scenarios:</w:t>
      </w:r>
      <w:r>
        <w:rPr>
          <w:rStyle w:val="Normal"/>
        </w:rPr>
        <w:t xml:space="preserve"> </w:t>
      </w:r>
      <w:r>
        <w:rPr>
          <w:i/>
          <w:iCs/>
          <w:rStyle w:val="Normal"/>
        </w:rPr>
        <w:t xml:space="preserve">Enhance operator training programs to include hands-on practice with the new processes in a safe environment.</w:t>
      </w:r>
      <w:r>
        <w:rPr>
          <w:rStyle w:val="Normal"/>
        </w:rPr>
        <w:t xml:space="preserve"> Use the kit’s </w:t>
      </w:r>
      <w:r>
        <w:rPr>
          <w:b/>
          <w:bCs/>
          <w:rStyle w:val="Normal"/>
        </w:rPr>
        <w:t xml:space="preserve">test mode</w:t>
      </w:r>
      <w:r>
        <w:rPr>
          <w:rStyle w:val="Normal"/>
        </w:rPr>
        <w:t xml:space="preserve"> capabilities and Automated Test Framework (ATF) scenarios to simulate tasks and failure conditions. For example, in a training sandbox, have operators execute a password reset request in test_mode and observe the five phases (Originate → Authorize → Elevate → Actuate → Verify) in the orchestrator’s trail and evidence record. Then run </w:t>
      </w:r>
      <w:r>
        <w:rPr>
          <w:b/>
          <w:bCs/>
          <w:rStyle w:val="Normal"/>
        </w:rPr>
        <w:t xml:space="preserve">negative scenarios</w:t>
      </w:r>
      <w:r>
        <w:rPr>
          <w:rStyle w:val="Normal"/>
        </w:rPr>
        <w:t xml:space="preserve"> (like a self-approval attempt or a missing data scenario) using the provided ATF tests to demonstrate fail-closed behavior in action. This experiential learning helps demystify the process and builds muscle-memory for real incidents. </w:t>
      </w:r>
      <w:r>
        <w:rPr>
          <w:b/>
          <w:bCs/>
          <w:rStyle w:val="Normal"/>
        </w:rPr>
        <w:t xml:space="preserve">Impact:</w:t>
      </w:r>
      <w:r>
        <w:rPr>
          <w:rStyle w:val="Normal"/>
        </w:rPr>
        <w:t xml:space="preserve"> High – improves </w:t>
      </w:r>
      <w:r>
        <w:rPr>
          <w:b/>
          <w:bCs/>
          <w:rStyle w:val="Normal"/>
        </w:rPr>
        <w:t xml:space="preserve">operator confidence and accuracy</w:t>
      </w:r>
      <w:r>
        <w:rPr>
          <w:rStyle w:val="Normal"/>
        </w:rPr>
        <w:t xml:space="preserve">, ensuring they understand the new workflow and trust the system’s controls. </w:t>
      </w:r>
      <w:r>
        <w:rPr>
          <w:b/>
          <w:bCs/>
          <w:rStyle w:val="Normal"/>
        </w:rPr>
        <w:t xml:space="preserve">Effort:</w:t>
      </w:r>
      <w:r>
        <w:rPr>
          <w:rStyle w:val="Normal"/>
        </w:rPr>
        <w:t xml:space="preserve"> </w:t>
      </w:r>
      <w:r>
        <w:rPr>
          <w:i/>
          <w:iCs/>
          <w:rStyle w:val="Normal"/>
        </w:rPr>
        <w:t xml:space="preserve">Medium</w:t>
      </w:r>
      <w:r>
        <w:rPr>
          <w:rStyle w:val="Normal"/>
        </w:rPr>
        <w:t xml:space="preserve"> (developing training materials and scheduling sessions, but largely uses existing test capabilities). </w:t>
      </w:r>
      <w:r>
        <w:rPr>
          <w:b/>
          <w:bCs/>
          <w:rStyle w:val="Normal"/>
        </w:rPr>
        <w:t xml:space="preserve">Implementation:</w:t>
      </w:r>
      <w:r>
        <w:rPr>
          <w:rStyle w:val="Normal"/>
        </w:rPr>
        <w:t xml:space="preserve"> Coordinate with the training team to create an </w:t>
      </w:r>
      <w:r>
        <w:rPr>
          <w:b/>
          <w:bCs/>
          <w:rStyle w:val="Normal"/>
        </w:rPr>
        <w:t xml:space="preserve">OrgComp Day-2 Operations Course</w:t>
      </w:r>
      <w:r>
        <w:rPr>
          <w:rStyle w:val="Normal"/>
        </w:rPr>
        <w:t xml:space="preserve"> for service-desk, leveraging the content of the runbook tasks and known pitfalls. Incorporate key points from the Runbook’s task-by-task descriptions (e.g., the importance of identity re-proofing in password/MFA resets) into training slides and exercises. </w:t>
      </w:r>
      <w:hyperlink w:history="1" r:id="rIdemy9uckf9djhii5x3mzz3">
        <w:r>
          <w:rPr>
            <w:rStyle w:val="Hyperlink"/>
          </w:rPr>
          <w:t xml:space="preserve">[2_Build_Delta | Word]</w:t>
        </w:r>
      </w:hyperlink>
      <w:r>
        <w:rPr>
          <w:rStyle w:val="Normal"/>
        </w:rPr>
        <w:t xml:space="preserve"> </w:t>
      </w:r>
      <w:hyperlink w:history="1" r:id="rIdlnjlixe2zm0jwlouf5l0r">
        <w:r>
          <w:rPr>
            <w:rStyle w:val="Hyperlink"/>
          </w:rPr>
          <w:t xml:space="preserve">[5_Operator_Usage | Word]</w:t>
        </w:r>
      </w:hyperlink>
      <w:r>
        <w:rPr>
          <w:rStyle w:val="Normal"/>
        </w:rPr>
        <w:t xml:space="preserve">, </w:t>
      </w:r>
      <w:hyperlink w:history="1" r:id="rId4ztxqpgrxb35oxfm4cnj4">
        <w:r>
          <w:rPr>
            <w:rStyle w:val="Hyperlink"/>
          </w:rPr>
          <w:t xml:space="preserve">[5_Operator_Usage | Word]</w:t>
        </w:r>
      </w:hyperlink>
    </w:p>
    <w:p>
      <w:pPr>
        <w:pBdr>
          <w:top w:val="single" w:color="auto" w:sz="12"/>
        </w:pBdr>
        <w:spacing w:after="0"/>
      </w:pPr>
    </w:p>
    <w:p>
      <w:pPr>
        <w:pStyle w:val="Heading2"/>
      </w:pPr>
      <w:r>
        <w:rPr>
          <w:rStyle w:val="Normal"/>
        </w:rPr>
        <w:t xml:space="preserve">3. </w:t>
      </w:r>
      <w:r>
        <w:rPr>
          <w:b/>
          <w:bCs/>
          <w:rStyle w:val="Normal"/>
        </w:rPr>
        <w:t xml:space="preserve">Enhance AD vs. Graph Routing Clarity &amp; Verification Timing Feedback</w:t>
      </w:r>
    </w:p>
    <w:p>
      <w:r>
        <w:rPr>
          <w:b/>
          <w:bCs/>
          <w:rStyle w:val="Normal"/>
        </w:rPr>
        <w:t xml:space="preserve">Original Issue:</w:t>
      </w:r>
      <w:r>
        <w:rPr>
          <w:rStyle w:val="Normal"/>
        </w:rPr>
        <w:t xml:space="preserve"> </w:t>
      </w:r>
      <w:r>
        <w:rPr>
          <w:i/>
          <w:iCs/>
          <w:rStyle w:val="Normal"/>
        </w:rPr>
        <w:t xml:space="preserve">Operators may be unclear which system (on-premises </w:t>
      </w:r>
      <w:r>
        <w:rPr>
          <w:i/>
          <w:iCs/>
          <w:rStyle w:val="Normal"/>
        </w:rPr>
        <w:t xml:space="preserve">Active Directory</w:t>
      </w:r>
      <w:r>
        <w:rPr>
          <w:i/>
          <w:iCs/>
          <w:rStyle w:val="Normal"/>
        </w:rPr>
        <w:t xml:space="preserve"> vs. </w:t>
      </w:r>
      <w:r>
        <w:rPr>
          <w:i/>
          <w:iCs/>
          <w:rStyle w:val="Normal"/>
        </w:rPr>
        <w:t xml:space="preserve">Entra ID/Graph</w:t>
      </w:r>
      <w:r>
        <w:rPr>
          <w:i/>
          <w:iCs/>
          <w:rStyle w:val="Normal"/>
        </w:rPr>
        <w:t xml:space="preserve">) is targeted for a given request, and might not realize that some changes won’t appear instantly due to directory synchronization delays. Without clear cues, this </w:t>
      </w:r>
      <w:r>
        <w:rPr>
          <w:b/>
          <w:bCs/>
          <w:i/>
          <w:iCs/>
          <w:rStyle w:val="Normal"/>
        </w:rPr>
        <w:t xml:space="preserve">High-severity</w:t>
      </w:r>
      <w:r>
        <w:rPr>
          <w:i/>
          <w:iCs/>
          <w:rStyle w:val="Normal"/>
        </w:rPr>
        <w:t xml:space="preserve"> issue can lead to confusion (e.g. expecting an immediate cloud update for a change that actually went to on-prem AD), or thinking a verified change failed when it’s simply delayed.</w:t>
      </w:r>
      <w:r>
        <w:rPr>
          <w:rStyle w:val="Normal"/>
        </w:rPr>
        <w:t xml:space="preserve"> </w:t>
      </w:r>
      <w:hyperlink w:history="1" r:id="rIdwdwz168y1dztveqt8il5b">
        <w:r>
          <w:rPr>
            <w:rStyle w:val="Hyperlink"/>
          </w:rPr>
          <w:t xml:space="preserve">[3_Scripts | Word]</w:t>
        </w:r>
      </w:hyperlink>
    </w:p>
    <w:p>
      <w:r>
        <w:rPr>
          <w:b/>
          <w:bCs/>
          <w:rStyle w:val="Normal"/>
        </w:rPr>
        <w:t xml:space="preserve">Recommended Fixes:</w:t>
      </w:r>
    </w:p>
    <w:p>
      <w:pPr>
        <w:pStyle w:val="ListParagraph"/>
        <w:pStyle w:val="ListParagraph"/>
        <w:numPr>
          <w:ilvl w:val="0"/>
          <w:numId w:val="1"/>
        </w:numPr>
        <w:numPr>
          <w:ilvl w:val="0"/>
          <w:numId w:val="4"/>
        </w:numPr>
      </w:pPr>
      <w:r>
        <w:rPr>
          <w:b/>
          <w:bCs/>
          <w:rStyle w:val="Normal"/>
        </w:rPr>
        <w:t xml:space="preserve">Indicate </w:t>
      </w:r>
      <w:r>
        <w:rPr>
          <w:b/>
          <w:bCs/>
          <w:rStyle w:val="Normal"/>
        </w:rPr>
        <w:t xml:space="preserve">Actuation Path (AD vs Cloud)</w:t>
      </w:r>
      <w:r>
        <w:rPr>
          <w:b/>
          <w:bCs/>
          <w:rStyle w:val="Normal"/>
        </w:rPr>
        <w:t xml:space="preserve"> in the Request:</w:t>
      </w:r>
      <w:r>
        <w:rPr>
          <w:rStyle w:val="Normal"/>
        </w:rPr>
        <w:t xml:space="preserve"> </w:t>
      </w:r>
      <w:r>
        <w:rPr>
          <w:i/>
          <w:iCs/>
          <w:rStyle w:val="Normal"/>
        </w:rPr>
        <w:t xml:space="preserve">Provide a visible indicator of which “leg” the request took (AD or cloud) once determined, so the operator knows where the change was applied.</w:t>
      </w:r>
      <w:r>
        <w:rPr>
          <w:rStyle w:val="Normal"/>
        </w:rPr>
        <w:t xml:space="preserve"> For example, once the router decides the path, populate a custom field on the ServiceNow ticket (e.g., </w:t>
      </w:r>
      <w:r>
        <w:rPr>
          <w:b/>
          <w:bCs/>
          <w:rStyle w:val="Normal"/>
        </w:rPr>
        <w:t xml:space="preserve">“Actuation Path: Active Directory”</w:t>
      </w:r>
      <w:r>
        <w:rPr>
          <w:rStyle w:val="Normal"/>
        </w:rPr>
        <w:t xml:space="preserve"> vs </w:t>
      </w:r>
      <w:r>
        <w:rPr>
          <w:b/>
          <w:bCs/>
          <w:rStyle w:val="Normal"/>
        </w:rPr>
        <w:t xml:space="preserve">“Actuation Path: Azure/Entra”</w:t>
      </w:r>
      <w:r>
        <w:rPr>
          <w:rStyle w:val="Normal"/>
        </w:rPr>
        <w:t xml:space="preserve">) or add a note: “This request is being executed in </w:t>
      </w:r>
      <w:r>
        <w:rPr>
          <w:b/>
          <w:bCs/>
          <w:rStyle w:val="Normal"/>
        </w:rPr>
        <w:t xml:space="preserve">AD</w:t>
      </w:r>
      <w:r>
        <w:rPr>
          <w:rStyle w:val="Normal"/>
        </w:rPr>
        <w:t xml:space="preserve"> (on-premises); changes will sync to Entra ID”. The kit’s Flow already sets an internal </w:t>
      </w:r>
      <w:r>
        <w:rPr>
          <w:rStyle w:val="Quote"/>
        </w:rPr>
        <w:t xml:space="preserve">actuation_leg</w:t>
      </w:r>
      <w:r>
        <w:rPr>
          <w:rStyle w:val="Normal"/>
        </w:rPr>
        <w:t xml:space="preserve"> flag for this decision; this can be surfaced via a small modification to the workflow or a script. </w:t>
      </w:r>
      <w:r>
        <w:rPr>
          <w:b/>
          <w:bCs/>
          <w:rStyle w:val="Normal"/>
        </w:rPr>
        <w:t xml:space="preserve">Impact:</w:t>
      </w:r>
      <w:r>
        <w:rPr>
          <w:rStyle w:val="Normal"/>
        </w:rPr>
        <w:t xml:space="preserve"> Prevents missteps like operators chasing results in the wrong system. For instance, they won’t immediately search Azure AD for a new account that’s still creating in AD and awaiting sync. </w:t>
      </w:r>
      <w:r>
        <w:rPr>
          <w:b/>
          <w:bCs/>
          <w:rStyle w:val="Normal"/>
        </w:rPr>
        <w:t xml:space="preserve">Effort:</w:t>
      </w:r>
      <w:r>
        <w:rPr>
          <w:rStyle w:val="Normal"/>
        </w:rPr>
        <w:t xml:space="preserve"> </w:t>
      </w:r>
      <w:r>
        <w:rPr>
          <w:i/>
          <w:iCs/>
          <w:rStyle w:val="Normal"/>
        </w:rPr>
        <w:t xml:space="preserve">Low-Medium</w:t>
      </w:r>
      <w:r>
        <w:rPr>
          <w:rStyle w:val="Normal"/>
        </w:rPr>
        <w:t xml:space="preserve"> (minor ServiceNow form/flow change). </w:t>
      </w:r>
      <w:r>
        <w:rPr>
          <w:b/>
          <w:bCs/>
          <w:rStyle w:val="Normal"/>
        </w:rPr>
        <w:t xml:space="preserve">Implementation:</w:t>
      </w:r>
      <w:r>
        <w:rPr>
          <w:rStyle w:val="Normal"/>
        </w:rPr>
        <w:t xml:space="preserve"> Modify the </w:t>
      </w:r>
      <w:r>
        <w:rPr>
          <w:b/>
          <w:bCs/>
          <w:rStyle w:val="Normal"/>
        </w:rPr>
        <w:t xml:space="preserve">Governed Day-2 Request</w:t>
      </w:r>
      <w:r>
        <w:rPr>
          <w:rStyle w:val="Normal"/>
        </w:rPr>
        <w:t xml:space="preserve"> flow to write the chosen </w:t>
      </w:r>
      <w:r>
        <w:rPr>
          <w:rStyle w:val="Quote"/>
        </w:rPr>
        <w:t xml:space="preserve">actuation_leg</w:t>
      </w:r>
      <w:r>
        <w:rPr>
          <w:rStyle w:val="Normal"/>
        </w:rPr>
        <w:t xml:space="preserve"> into a field or work note that operators see. Also update the </w:t>
      </w:r>
      <w:r>
        <w:rPr>
          <w:b/>
          <w:bCs/>
          <w:rStyle w:val="Normal"/>
        </w:rPr>
        <w:t xml:space="preserve">Operator Usage guide</w:t>
      </w:r>
      <w:r>
        <w:rPr>
          <w:rStyle w:val="Normal"/>
        </w:rPr>
        <w:t xml:space="preserve"> to explicitly instruct operators to check this field to know where to verify outcomes (e.g., “if Actuation Path = AD, verify the change in Active Directory first” – aligning with the Usage guide’s explanation of routing for </w:t>
      </w:r>
      <w:r>
        <w:rPr>
          <w:b/>
          <w:bCs/>
          <w:rStyle w:val="Normal"/>
        </w:rPr>
        <w:t xml:space="preserve">synced vs cloud objects</w:t>
      </w:r>
      <w:r>
        <w:rPr>
          <w:rStyle w:val="Normal"/>
        </w:rPr>
        <w:t xml:space="preserve">). </w:t>
      </w:r>
      <w:hyperlink w:history="1" r:id="rIdj9cpdqisze1r7yfjjjm_e">
        <w:r>
          <w:rPr>
            <w:rStyle w:val="Hyperlink"/>
          </w:rPr>
          <w:t xml:space="preserve">[6_Usage_SA...ntegration | Word]</w:t>
        </w:r>
      </w:hyperlink>
    </w:p>
    <w:p>
      <w:pPr>
        <w:pStyle w:val="ListParagraph"/>
        <w:pStyle w:val="ListParagraph"/>
        <w:numPr>
          <w:ilvl w:val="0"/>
          <w:numId w:val="1"/>
        </w:numPr>
        <w:numPr>
          <w:ilvl w:val="0"/>
          <w:numId w:val="4"/>
        </w:numPr>
      </w:pPr>
      <w:r>
        <w:rPr>
          <w:b/>
          <w:bCs/>
          <w:rStyle w:val="Normal"/>
        </w:rPr>
        <w:t xml:space="preserve">Built-in Delay or Manual Verify for AD-sync Operations:</w:t>
      </w:r>
      <w:r>
        <w:rPr>
          <w:rStyle w:val="Normal"/>
        </w:rPr>
        <w:t xml:space="preserve"> </w:t>
      </w:r>
      <w:r>
        <w:rPr>
          <w:i/>
          <w:iCs/>
          <w:rStyle w:val="Normal"/>
        </w:rPr>
        <w:t xml:space="preserve">Address the timing gap for changes that rely on AD → Entra synchronization.</w:t>
      </w:r>
      <w:r>
        <w:rPr>
          <w:rStyle w:val="Normal"/>
        </w:rPr>
        <w:t xml:space="preserve"> The system already notes that </w:t>
      </w:r>
      <w:r>
        <w:rPr>
          <w:b/>
          <w:bCs/>
          <w:rStyle w:val="Normal"/>
        </w:rPr>
        <w:t xml:space="preserve">AD-driven writes require waiting for sync</w:t>
      </w:r>
      <w:r>
        <w:rPr>
          <w:rStyle w:val="Normal"/>
        </w:rPr>
        <w:t xml:space="preserve"> to propagate changes to the cloud. To reduce false “verification failed” scenarios, implement a short </w:t>
      </w:r>
      <w:r>
        <w:rPr>
          <w:b/>
          <w:bCs/>
          <w:rStyle w:val="Normal"/>
        </w:rPr>
        <w:t xml:space="preserve">delay and retry mechanism</w:t>
      </w:r>
      <w:r>
        <w:rPr>
          <w:rStyle w:val="Normal"/>
        </w:rPr>
        <w:t xml:space="preserve"> for the Verify clause when the AD leg is used. For example, if an AD-leg task’s initial cloud verification fails, the Flow could pause for 5–10 minutes (or one directory sync cycle) and then automatically re-check the Entra side before declaring failure. This would be a behind-the-scenes fix ensuring tasks don’t flag false negatives simply due to timing. If fully automating this is not feasible, an alternative is to provide a </w:t>
      </w:r>
      <w:r>
        <w:rPr>
          <w:b/>
          <w:bCs/>
          <w:rStyle w:val="Normal"/>
        </w:rPr>
        <w:t xml:space="preserve">manual “Re-Verify” button</w:t>
      </w:r>
      <w:r>
        <w:rPr>
          <w:rStyle w:val="Normal"/>
        </w:rPr>
        <w:t xml:space="preserve"> for operators on tasks that stopped at Verify, which would trigger just the verification clause again after a safe interval. </w:t>
      </w:r>
      <w:r>
        <w:rPr>
          <w:b/>
          <w:bCs/>
          <w:rStyle w:val="Normal"/>
        </w:rPr>
        <w:t xml:space="preserve">Impact:</w:t>
      </w:r>
      <w:r>
        <w:rPr>
          <w:rStyle w:val="Normal"/>
        </w:rPr>
        <w:t xml:space="preserve"> High – reduces unnecessary fail-closed events due to replication latency, thus easing operator workload and anxiety. </w:t>
      </w:r>
      <w:r>
        <w:rPr>
          <w:b/>
          <w:bCs/>
          <w:rStyle w:val="Normal"/>
        </w:rPr>
        <w:t xml:space="preserve">Effort:</w:t>
      </w:r>
      <w:r>
        <w:rPr>
          <w:rStyle w:val="Normal"/>
        </w:rPr>
        <w:t xml:space="preserve"> </w:t>
      </w:r>
      <w:r>
        <w:rPr>
          <w:i/>
          <w:iCs/>
          <w:rStyle w:val="Normal"/>
        </w:rPr>
        <w:t xml:space="preserve">Medium</w:t>
      </w:r>
      <w:r>
        <w:rPr>
          <w:rStyle w:val="Normal"/>
        </w:rPr>
        <w:t xml:space="preserve"> (workflow logic update or custom button). </w:t>
      </w:r>
      <w:r>
        <w:rPr>
          <w:b/>
          <w:bCs/>
          <w:rStyle w:val="Normal"/>
        </w:rPr>
        <w:t xml:space="preserve">Implementation:</w:t>
      </w:r>
      <w:r>
        <w:rPr>
          <w:rStyle w:val="Normal"/>
        </w:rPr>
        <w:t xml:space="preserve"> Leverage the knowledge in the design (e.g., understanding that </w:t>
      </w:r>
      <w:r>
        <w:rPr>
          <w:b/>
          <w:bCs/>
          <w:rStyle w:val="Normal"/>
        </w:rPr>
        <w:t xml:space="preserve">Entra sync may lag</w:t>
      </w:r>
      <w:r>
        <w:rPr>
          <w:rStyle w:val="Normal"/>
        </w:rPr>
        <w:t xml:space="preserve">) to adjust the </w:t>
      </w:r>
      <w:r>
        <w:rPr>
          <w:b/>
          <w:bCs/>
          <w:rStyle w:val="Normal"/>
        </w:rPr>
        <w:t xml:space="preserve">Verify step</w:t>
      </w:r>
      <w:r>
        <w:rPr>
          <w:rStyle w:val="Normal"/>
        </w:rPr>
        <w:t xml:space="preserve"> in the Flow. Document this improvement in the </w:t>
      </w:r>
      <w:r>
        <w:rPr>
          <w:b/>
          <w:bCs/>
          <w:rStyle w:val="Normal"/>
        </w:rPr>
        <w:t xml:space="preserve">Implementation Guide</w:t>
      </w:r>
      <w:r>
        <w:rPr>
          <w:rStyle w:val="Normal"/>
        </w:rPr>
        <w:t xml:space="preserve"> (e.g., in a troubleshooting or design commentary section) for transparency. </w:t>
      </w:r>
      <w:hyperlink w:history="1" r:id="rIdtwn4qwnz2xvbglr_lj_hc">
        <w:r>
          <w:rPr>
            <w:rStyle w:val="Hyperlink"/>
          </w:rPr>
          <w:t xml:space="preserve">[3_Scripts | Word]</w:t>
        </w:r>
      </w:hyperlink>
    </w:p>
    <w:p>
      <w:pPr>
        <w:pStyle w:val="ListParagraph"/>
        <w:pStyle w:val="ListParagraph"/>
        <w:numPr>
          <w:ilvl w:val="0"/>
          <w:numId w:val="1"/>
        </w:numPr>
        <w:numPr>
          <w:ilvl w:val="0"/>
          <w:numId w:val="4"/>
        </w:numPr>
      </w:pPr>
      <w:r>
        <w:rPr>
          <w:b/>
          <w:bCs/>
          <w:rStyle w:val="Normal"/>
        </w:rPr>
        <w:t xml:space="preserve">Highlight Synced Accounts/Groups in UI:</w:t>
      </w:r>
      <w:r>
        <w:rPr>
          <w:rStyle w:val="Normal"/>
        </w:rPr>
        <w:t xml:space="preserve"> </w:t>
      </w:r>
      <w:r>
        <w:rPr>
          <w:i/>
          <w:iCs/>
          <w:rStyle w:val="Normal"/>
        </w:rPr>
        <w:t xml:space="preserve">Provide a visual cue in the service-desk interface to denote if a target user or group is AD-synced vs cloud-only.</w:t>
      </w:r>
      <w:r>
        <w:rPr>
          <w:rStyle w:val="Normal"/>
        </w:rPr>
        <w:t xml:space="preserve"> ServiceNow can display attributes from Entra (Azure AD) via integration; for instance, showing a field “Account Type: Synced from AD” (perhaps based on the </w:t>
      </w:r>
      <w:r>
        <w:rPr>
          <w:rStyle w:val="Quote"/>
        </w:rPr>
        <w:t xml:space="preserve">onPremisesSyncEnabled</w:t>
      </w:r>
      <w:r>
        <w:rPr>
          <w:rStyle w:val="Normal"/>
        </w:rPr>
        <w:t xml:space="preserve"> attribute) on user records. This helps operators predict behavior – e.g., knowing a user is AD-synced tells the operator that password resets and group changes will go through AD (with a possible delay). </w:t>
      </w:r>
      <w:r>
        <w:rPr>
          <w:b/>
          <w:bCs/>
          <w:rStyle w:val="Normal"/>
        </w:rPr>
        <w:t xml:space="preserve">Impact:</w:t>
      </w:r>
      <w:r>
        <w:rPr>
          <w:rStyle w:val="Normal"/>
        </w:rPr>
        <w:t xml:space="preserve"> Medium – improves decision support and reduces mistakes (the operator can immediately tell </w:t>
      </w:r>
      <w:r>
        <w:rPr>
          <w:i/>
          <w:iCs/>
          <w:rStyle w:val="Normal"/>
        </w:rPr>
        <w:t xml:space="preserve">where</w:t>
      </w:r>
      <w:r>
        <w:rPr>
          <w:rStyle w:val="Normal"/>
        </w:rPr>
        <w:t xml:space="preserve"> a change will occur and temper expectations about timing). </w:t>
      </w:r>
      <w:r>
        <w:rPr>
          <w:b/>
          <w:bCs/>
          <w:rStyle w:val="Normal"/>
        </w:rPr>
        <w:t xml:space="preserve">Effort:</w:t>
      </w:r>
      <w:r>
        <w:rPr>
          <w:rStyle w:val="Normal"/>
        </w:rPr>
        <w:t xml:space="preserve"> </w:t>
      </w:r>
      <w:r>
        <w:rPr>
          <w:i/>
          <w:iCs/>
          <w:rStyle w:val="Normal"/>
        </w:rPr>
        <w:t xml:space="preserve">Low-Medium</w:t>
      </w:r>
      <w:r>
        <w:rPr>
          <w:rStyle w:val="Normal"/>
        </w:rPr>
        <w:t xml:space="preserve"> (configuration of identity data display in the ServiceNow UI, if not already present). </w:t>
      </w:r>
      <w:r>
        <w:rPr>
          <w:b/>
          <w:bCs/>
          <w:rStyle w:val="Normal"/>
        </w:rPr>
        <w:t xml:space="preserve">Implementation:</w:t>
      </w:r>
      <w:r>
        <w:rPr>
          <w:rStyle w:val="Normal"/>
        </w:rPr>
        <w:t xml:space="preserve"> Work with the identity management/ServiceNow team to expose an indicator of sync status (could be as simple as a read-only field that gets populated via the Entra user sync or API). Update the </w:t>
      </w:r>
      <w:r>
        <w:rPr>
          <w:b/>
          <w:bCs/>
          <w:rStyle w:val="Normal"/>
        </w:rPr>
        <w:t xml:space="preserve">Operator Runbook</w:t>
      </w:r>
      <w:r>
        <w:rPr>
          <w:rStyle w:val="Normal"/>
        </w:rPr>
        <w:t xml:space="preserve"> to include a note like: “When processing a request, always check the user or group’s </w:t>
      </w:r>
      <w:r>
        <w:rPr>
          <w:b/>
          <w:bCs/>
          <w:rStyle w:val="Normal"/>
        </w:rPr>
        <w:t xml:space="preserve">Sync Status</w:t>
      </w:r>
      <w:r>
        <w:rPr>
          <w:rStyle w:val="Normal"/>
        </w:rPr>
        <w:t xml:space="preserve"> field: if it indicates ‘AD-sourced,’ expect the change to be made in Active Directory and require synchronization to Entra ID.”</w:t>
      </w:r>
    </w:p>
    <w:p>
      <w:pPr>
        <w:pBdr>
          <w:top w:val="single" w:color="auto" w:sz="12"/>
        </w:pBdr>
        <w:spacing w:after="0"/>
      </w:pPr>
    </w:p>
    <w:p>
      <w:pPr>
        <w:pStyle w:val="Heading2"/>
      </w:pPr>
      <w:r>
        <w:rPr>
          <w:rStyle w:val="Normal"/>
        </w:rPr>
        <w:t xml:space="preserve">4. </w:t>
      </w:r>
      <w:r>
        <w:rPr>
          <w:b/>
          <w:bCs/>
          <w:rStyle w:val="Normal"/>
        </w:rPr>
        <w:t xml:space="preserve">Add Workflow Guidance &amp; Guardrails in the Catalog and UI</w:t>
      </w:r>
    </w:p>
    <w:p>
      <w:r>
        <w:rPr>
          <w:b/>
          <w:bCs/>
          <w:rStyle w:val="Normal"/>
        </w:rPr>
        <w:t xml:space="preserve">Original Issue:</w:t>
      </w:r>
      <w:r>
        <w:rPr>
          <w:rStyle w:val="Normal"/>
        </w:rPr>
        <w:t xml:space="preserve"> </w:t>
      </w:r>
      <w:r>
        <w:rPr>
          <w:i/>
          <w:iCs/>
          <w:rStyle w:val="Normal"/>
        </w:rPr>
        <w:t xml:space="preserve">The new process is multi-layered and can be slow or overwhelming, making it easy for operators to slip up or feel lost (Medium severity issue). For example, every OrgComp task has up to five phases with two possible technical paths, plus multiple approvals or identity checks. Operators need more guidance “in the moment” to prevent errors and streamline execution.</w:t>
      </w:r>
      <w:r>
        <w:rPr>
          <w:rStyle w:val="Normal"/>
        </w:rPr>
        <w:t xml:space="preserve"> </w:t>
      </w:r>
      <w:hyperlink w:history="1" r:id="rId0qxte0xqev_xwnb_tbfsc">
        <w:r>
          <w:rPr>
            <w:rStyle w:val="Hyperlink"/>
          </w:rPr>
          <w:t xml:space="preserve">[5_Operator_Usage | Word]</w:t>
        </w:r>
      </w:hyperlink>
      <w:r>
        <w:rPr>
          <w:rStyle w:val="Normal"/>
        </w:rPr>
        <w:t xml:space="preserve">, </w:t>
      </w:r>
      <w:hyperlink w:history="1" r:id="rIdibjctcql2q4ixgcbfz_xe">
        <w:r>
          <w:rPr>
            <w:rStyle w:val="Hyperlink"/>
          </w:rPr>
          <w:t xml:space="preserve">[5_Operator_Usage | Word]</w:t>
        </w:r>
      </w:hyperlink>
    </w:p>
    <w:p>
      <w:r>
        <w:rPr>
          <w:b/>
          <w:bCs/>
          <w:rStyle w:val="Normal"/>
        </w:rPr>
        <w:t xml:space="preserve">Recommended Fixes:</w:t>
      </w:r>
    </w:p>
    <w:p>
      <w:pPr>
        <w:pStyle w:val="ListParagraph"/>
        <w:pStyle w:val="ListParagraph"/>
        <w:numPr>
          <w:ilvl w:val="0"/>
          <w:numId w:val="1"/>
        </w:numPr>
        <w:numPr>
          <w:ilvl w:val="0"/>
          <w:numId w:val="5"/>
        </w:numPr>
      </w:pPr>
      <w:r>
        <w:rPr>
          <w:b/>
          <w:bCs/>
          <w:rStyle w:val="Normal"/>
        </w:rPr>
        <w:t xml:space="preserve">Embed Step-by-Step Prompts in Task Forms:</w:t>
      </w:r>
      <w:r>
        <w:rPr>
          <w:rStyle w:val="Normal"/>
        </w:rPr>
        <w:t xml:space="preserve"> </w:t>
      </w:r>
      <w:r>
        <w:rPr>
          <w:i/>
          <w:iCs/>
          <w:rStyle w:val="Normal"/>
        </w:rPr>
        <w:t xml:space="preserve">Leverage ServiceNow’s catalog item form design to guide operators at submission time.</w:t>
      </w:r>
      <w:r>
        <w:rPr>
          <w:rStyle w:val="Normal"/>
        </w:rPr>
        <w:t xml:space="preserve"> For each catalog item, ensure the </w:t>
      </w:r>
      <w:r>
        <w:rPr>
          <w:b/>
          <w:bCs/>
          <w:rStyle w:val="Normal"/>
        </w:rPr>
        <w:t xml:space="preserve">questions and help text</w:t>
      </w:r>
      <w:r>
        <w:rPr>
          <w:rStyle w:val="Normal"/>
        </w:rPr>
        <w:t xml:space="preserve"> clearly reflect OrgComp requirements in operator terms. For instance, on a privileged task form (one that will invoke Privileged Access Management), include a note like: “🛈 </w:t>
      </w:r>
      <w:r>
        <w:rPr>
          <w:i/>
          <w:iCs/>
          <w:rStyle w:val="Normal"/>
        </w:rPr>
        <w:t xml:space="preserve">This request requires a second approver and will auto-trigger a time-limited admin access grant.</w:t>
      </w:r>
      <w:r>
        <w:rPr>
          <w:rStyle w:val="Normal"/>
        </w:rPr>
        <w:t xml:space="preserve"> Ensure you select the correct approver and provide a justification.” This reinforces key points at the time of action, reducing omissions. Similarly, the </w:t>
      </w:r>
      <w:r>
        <w:rPr>
          <w:b/>
          <w:bCs/>
          <w:rStyle w:val="Normal"/>
        </w:rPr>
        <w:t xml:space="preserve">password reset form</w:t>
      </w:r>
      <w:r>
        <w:rPr>
          <w:rStyle w:val="Normal"/>
        </w:rPr>
        <w:t xml:space="preserve"> can remind the operator: “Verify caller’s identity with authoritative info (e.g., employee ID, last 4 of phone on record) before submission.” </w:t>
      </w:r>
      <w:r>
        <w:rPr>
          <w:b/>
          <w:bCs/>
          <w:rStyle w:val="Normal"/>
        </w:rPr>
        <w:t xml:space="preserve">Impact:</w:t>
      </w:r>
      <w:r>
        <w:rPr>
          <w:rStyle w:val="Normal"/>
        </w:rPr>
        <w:t xml:space="preserve"> Medium – real-time reminders help prevent common mistakes such as picking the wrong approver (enforcing requester ≠ approver), forgetting to verify identity, or leaving required fields blank. </w:t>
      </w:r>
      <w:r>
        <w:rPr>
          <w:b/>
          <w:bCs/>
          <w:rStyle w:val="Normal"/>
        </w:rPr>
        <w:t xml:space="preserve">Effort:</w:t>
      </w:r>
      <w:r>
        <w:rPr>
          <w:rStyle w:val="Normal"/>
        </w:rPr>
        <w:t xml:space="preserve"> </w:t>
      </w:r>
      <w:r>
        <w:rPr>
          <w:i/>
          <w:iCs/>
          <w:rStyle w:val="Normal"/>
        </w:rPr>
        <w:t xml:space="preserve">Low</w:t>
      </w:r>
      <w:r>
        <w:rPr>
          <w:rStyle w:val="Normal"/>
        </w:rPr>
        <w:t xml:space="preserve"> (updating catalog item descriptions or adding help text). </w:t>
      </w:r>
      <w:r>
        <w:rPr>
          <w:b/>
          <w:bCs/>
          <w:rStyle w:val="Normal"/>
        </w:rPr>
        <w:t xml:space="preserve">Implementation:</w:t>
      </w:r>
      <w:r>
        <w:rPr>
          <w:rStyle w:val="Normal"/>
        </w:rPr>
        <w:t xml:space="preserve"> Use the content already in the Operator Runbook’s task definitions (e.g. the bullet points under “The OrgComp process” for each task) to craft succinct instructions on the form itself. Also, implement form validation (via ServiceNow catalog client scripts or UI policies) to enforce mandatory fields and conditions – e.g. if a </w:t>
      </w:r>
      <w:r>
        <w:rPr>
          <w:i/>
          <w:iCs/>
          <w:rStyle w:val="Normal"/>
        </w:rPr>
        <w:t xml:space="preserve">privileged</w:t>
      </w:r>
      <w:r>
        <w:rPr>
          <w:rStyle w:val="Normal"/>
        </w:rPr>
        <w:t xml:space="preserve"> checkbox is selected on a request, require an </w:t>
      </w:r>
      <w:r>
        <w:rPr>
          <w:i/>
          <w:iCs/>
          <w:rStyle w:val="Normal"/>
        </w:rPr>
        <w:t xml:space="preserve">Expiry Date</w:t>
      </w:r>
      <w:r>
        <w:rPr>
          <w:rStyle w:val="Normal"/>
        </w:rPr>
        <w:t xml:space="preserve"> to be entered, preventing submission otherwise (this aligns with existing checks like ensuring privileged tasks have an expiration, as hinted in testing scenarios). </w:t>
      </w:r>
      <w:hyperlink w:history="1" r:id="rIdnzitblxsdqynwhpukyc64">
        <w:r>
          <w:rPr>
            <w:rStyle w:val="Hyperlink"/>
          </w:rPr>
          <w:t xml:space="preserve">[5_Operator_Usage | Word]</w:t>
        </w:r>
      </w:hyperlink>
      <w:r>
        <w:rPr>
          <w:rStyle w:val="Normal"/>
        </w:rPr>
        <w:t xml:space="preserve"> </w:t>
      </w:r>
      <w:hyperlink w:history="1" r:id="rIdkqj-h_ueijophbfepbdpj">
        <w:r>
          <w:rPr>
            <w:rStyle w:val="Hyperlink"/>
          </w:rPr>
          <w:t xml:space="preserve">[5_Operator_Usage | Word]</w:t>
        </w:r>
      </w:hyperlink>
      <w:r>
        <w:rPr>
          <w:rStyle w:val="Normal"/>
        </w:rPr>
        <w:t xml:space="preserve">, </w:t>
      </w:r>
      <w:hyperlink w:history="1" r:id="rIdwggun0orf6wkglhgfgagn">
        <w:r>
          <w:rPr>
            <w:rStyle w:val="Hyperlink"/>
          </w:rPr>
          <w:t xml:space="preserve">[5_Operator_Usage | Word]</w:t>
        </w:r>
      </w:hyperlink>
    </w:p>
    <w:p>
      <w:pPr>
        <w:pStyle w:val="ListParagraph"/>
        <w:pStyle w:val="ListParagraph"/>
        <w:numPr>
          <w:ilvl w:val="0"/>
          <w:numId w:val="1"/>
        </w:numPr>
        <w:numPr>
          <w:ilvl w:val="0"/>
          <w:numId w:val="5"/>
        </w:numPr>
      </w:pPr>
      <w:r>
        <w:rPr>
          <w:b/>
          <w:bCs/>
          <w:rStyle w:val="Normal"/>
        </w:rPr>
        <w:t xml:space="preserve">Visual Progress Indicator for Multi-Step Tasks:</w:t>
      </w:r>
      <w:r>
        <w:rPr>
          <w:rStyle w:val="Normal"/>
        </w:rPr>
        <w:t xml:space="preserve"> </w:t>
      </w:r>
      <w:r>
        <w:rPr>
          <w:i/>
          <w:iCs/>
          <w:rStyle w:val="Normal"/>
        </w:rPr>
        <w:t xml:space="preserve">Provide operators with feedback on </w:t>
      </w:r>
      <w:r>
        <w:rPr>
          <w:b/>
          <w:bCs/>
          <w:i/>
          <w:iCs/>
          <w:rStyle w:val="Normal"/>
        </w:rPr>
        <w:t xml:space="preserve">which phase</w:t>
      </w:r>
      <w:r>
        <w:rPr>
          <w:i/>
          <w:iCs/>
          <w:rStyle w:val="Normal"/>
        </w:rPr>
        <w:t xml:space="preserve"> a request is in, especially for longer-running tasks.</w:t>
      </w:r>
      <w:r>
        <w:rPr>
          <w:rStyle w:val="Normal"/>
        </w:rPr>
        <w:t xml:space="preserve"> ServiceNow workflows can show a visual timeline or update the task state as it moves through phases. Configuring the workflow to update the RITM state to reflect “Awaiting Approval,” “Executing Change (via AD)”, “Pending Verification,” etc., would mirror the five MACD-R stages. </w:t>
      </w:r>
      <w:r>
        <w:rPr>
          <w:b/>
          <w:bCs/>
          <w:rStyle w:val="Normal"/>
        </w:rPr>
        <w:t xml:space="preserve">Impact:</w:t>
      </w:r>
      <w:r>
        <w:rPr>
          <w:rStyle w:val="Normal"/>
        </w:rPr>
        <w:t xml:space="preserve"> Medium – makes the process more transparent and reduces uncertainty. For example, if a request is stuck “Awaiting Verification,” the operator immediately knows the change was made but the final check hasn’t passed (perhaps due to sync delay) and can act accordingly, rather than wondering if the request was never executed. </w:t>
      </w:r>
      <w:r>
        <w:rPr>
          <w:b/>
          <w:bCs/>
          <w:rStyle w:val="Normal"/>
        </w:rPr>
        <w:t xml:space="preserve">Effort:</w:t>
      </w:r>
      <w:r>
        <w:rPr>
          <w:rStyle w:val="Normal"/>
        </w:rPr>
        <w:t xml:space="preserve"> </w:t>
      </w:r>
      <w:r>
        <w:rPr>
          <w:i/>
          <w:iCs/>
          <w:rStyle w:val="Normal"/>
        </w:rPr>
        <w:t xml:space="preserve">Medium</w:t>
      </w:r>
      <w:r>
        <w:rPr>
          <w:rStyle w:val="Normal"/>
        </w:rPr>
        <w:t xml:space="preserve"> (workflow configuration). </w:t>
      </w:r>
      <w:r>
        <w:rPr>
          <w:b/>
          <w:bCs/>
          <w:rStyle w:val="Normal"/>
        </w:rPr>
        <w:t xml:space="preserve">Implementation:</w:t>
      </w:r>
      <w:r>
        <w:rPr>
          <w:rStyle w:val="Normal"/>
        </w:rPr>
        <w:t xml:space="preserve"> Define states or sub-states corresponding to the MACD-R clauses. Use the information flow already described in the documentation (e.g., </w:t>
      </w:r>
      <w:r>
        <w:rPr>
          <w:b/>
          <w:bCs/>
          <w:rStyle w:val="Normal"/>
        </w:rPr>
        <w:t xml:space="preserve">clause sequence in orchestrator trail</w:t>
      </w:r>
      <w:r>
        <w:rPr>
          <w:rStyle w:val="Normal"/>
        </w:rPr>
        <w:t xml:space="preserve">) to align state names. Document these new status indicators in the </w:t>
      </w:r>
      <w:r>
        <w:rPr>
          <w:b/>
          <w:bCs/>
          <w:rStyle w:val="Normal"/>
        </w:rPr>
        <w:t xml:space="preserve">Operator Guide</w:t>
      </w:r>
      <w:r>
        <w:rPr>
          <w:rStyle w:val="Normal"/>
        </w:rPr>
        <w:t xml:space="preserve">, so that operators know what each state means (e.g., “Verify – re-reading system to confirm the change took place”). This essentially operationalizes the conceptual MACD-R phases from the runbook into UI cues.</w:t>
      </w:r>
    </w:p>
    <w:p>
      <w:pPr>
        <w:pStyle w:val="ListParagraph"/>
        <w:pStyle w:val="ListParagraph"/>
        <w:numPr>
          <w:ilvl w:val="0"/>
          <w:numId w:val="1"/>
        </w:numPr>
        <w:numPr>
          <w:ilvl w:val="0"/>
          <w:numId w:val="5"/>
        </w:numPr>
      </w:pPr>
      <w:r>
        <w:rPr>
          <w:b/>
          <w:bCs/>
          <w:rStyle w:val="Normal"/>
        </w:rPr>
        <w:t xml:space="preserve">Pre-Populate or Automate Common Inputs:</w:t>
      </w:r>
      <w:r>
        <w:rPr>
          <w:rStyle w:val="Normal"/>
        </w:rPr>
        <w:t xml:space="preserve"> </w:t>
      </w:r>
      <w:r>
        <w:rPr>
          <w:i/>
          <w:iCs/>
          <w:rStyle w:val="Normal"/>
        </w:rPr>
        <w:t xml:space="preserve">Reduce the manual effort for operators by auto-filling fields where possible and automating routine sub-tasks.</w:t>
      </w:r>
      <w:r>
        <w:rPr>
          <w:rStyle w:val="Normal"/>
        </w:rPr>
        <w:t xml:space="preserve"> For example, if a ticket is a </w:t>
      </w:r>
      <w:r>
        <w:rPr>
          <w:i/>
          <w:iCs/>
          <w:rStyle w:val="Normal"/>
        </w:rPr>
        <w:t xml:space="preserve">joiner</w:t>
      </w:r>
      <w:r>
        <w:rPr>
          <w:rStyle w:val="Normal"/>
        </w:rPr>
        <w:t xml:space="preserve"> or </w:t>
      </w:r>
      <w:r>
        <w:rPr>
          <w:i/>
          <w:iCs/>
          <w:rStyle w:val="Normal"/>
        </w:rPr>
        <w:t xml:space="preserve">mover</w:t>
      </w:r>
      <w:r>
        <w:rPr>
          <w:rStyle w:val="Normal"/>
        </w:rPr>
        <w:t xml:space="preserve"> task, the system could automatically fetch and populate certain data (like the user’s manager or new department) to ensure accuracy and save time. The Implementation Guide emphasizes building derivations for entitlements and attributes (rather than relying on operator judgment) – these derivations should be fully utilized to minimize what the operator must figure out or enter manually. </w:t>
      </w:r>
      <w:r>
        <w:rPr>
          <w:b/>
          <w:bCs/>
          <w:rStyle w:val="Normal"/>
        </w:rPr>
        <w:t xml:space="preserve">Impact:</w:t>
      </w:r>
      <w:r>
        <w:rPr>
          <w:rStyle w:val="Normal"/>
        </w:rPr>
        <w:t xml:space="preserve"> Medium – improves efficiency and prevents errors caused by manual data entry. </w:t>
      </w:r>
      <w:r>
        <w:rPr>
          <w:b/>
          <w:bCs/>
          <w:rStyle w:val="Normal"/>
        </w:rPr>
        <w:t xml:space="preserve">Effort:</w:t>
      </w:r>
      <w:r>
        <w:rPr>
          <w:rStyle w:val="Normal"/>
        </w:rPr>
        <w:t xml:space="preserve"> </w:t>
      </w:r>
      <w:r>
        <w:rPr>
          <w:i/>
          <w:iCs/>
          <w:rStyle w:val="Normal"/>
        </w:rPr>
        <w:t xml:space="preserve">High</w:t>
      </w:r>
      <w:r>
        <w:rPr>
          <w:rStyle w:val="Normal"/>
        </w:rPr>
        <w:t xml:space="preserve"> for new automation, </w:t>
      </w:r>
      <w:r>
        <w:rPr>
          <w:i/>
          <w:iCs/>
          <w:rStyle w:val="Normal"/>
        </w:rPr>
        <w:t xml:space="preserve">Low</w:t>
      </w:r>
      <w:r>
        <w:rPr>
          <w:rStyle w:val="Normal"/>
        </w:rPr>
        <w:t xml:space="preserve"> for leveraging existing derivation logic. </w:t>
      </w:r>
      <w:r>
        <w:rPr>
          <w:b/>
          <w:bCs/>
          <w:rStyle w:val="Normal"/>
        </w:rPr>
        <w:t xml:space="preserve">Implementation:</w:t>
      </w:r>
      <w:r>
        <w:rPr>
          <w:rStyle w:val="Normal"/>
        </w:rPr>
        <w:t xml:space="preserve"> Coordinate with platform developers to see if data already available (e.g., from HR system integration or identity feeds) can be pulled into the fulfillment forms or flows. Emphasize in the documentation that operators should </w:t>
      </w:r>
      <w:r>
        <w:rPr>
          <w:b/>
          <w:bCs/>
          <w:rStyle w:val="Normal"/>
        </w:rPr>
        <w:t xml:space="preserve">not</w:t>
      </w:r>
      <w:r>
        <w:rPr>
          <w:rStyle w:val="Normal"/>
        </w:rPr>
        <w:t xml:space="preserve"> override system-derived values unless absolutely necessary, to maintain consistency (per OrgComp’s principle that “the form is the contract” and all inputs should be predefined). </w:t>
      </w:r>
      <w:hyperlink w:history="1" r:id="rIdnoudvym00s8epvkfop-0l">
        <w:r>
          <w:rPr>
            <w:rStyle w:val="Hyperlink"/>
          </w:rPr>
          <w:t xml:space="preserve">[5_Operator_Usage | Word]</w:t>
        </w:r>
      </w:hyperlink>
      <w:r>
        <w:rPr>
          <w:rStyle w:val="Normal"/>
        </w:rPr>
        <w:t xml:space="preserve"> </w:t>
      </w:r>
      <w:hyperlink w:history="1" r:id="rIdpcmmahqgj2vypnhvkm0md">
        <w:r>
          <w:rPr>
            <w:rStyle w:val="Hyperlink"/>
          </w:rPr>
          <w:t xml:space="preserve">[5_Operator_Usage | Word]</w:t>
        </w:r>
      </w:hyperlink>
      <w:r>
        <w:rPr>
          <w:rStyle w:val="Normal"/>
        </w:rPr>
        <w:t xml:space="preserve">, </w:t>
      </w:r>
      <w:hyperlink w:history="1" r:id="rIdcel5rc3uzm4cnretfpqhv">
        <w:r>
          <w:rPr>
            <w:rStyle w:val="Hyperlink"/>
          </w:rPr>
          <w:t xml:space="preserve">[5_Operator_Usage | Word]</w:t>
        </w:r>
      </w:hyperlink>
    </w:p>
    <w:p>
      <w:pPr>
        <w:pBdr>
          <w:top w:val="single" w:color="auto" w:sz="12"/>
        </w:pBdr>
        <w:spacing w:after="0"/>
      </w:pPr>
    </w:p>
    <w:p>
      <w:pPr>
        <w:pStyle w:val="Heading2"/>
      </w:pPr>
      <w:r>
        <w:rPr>
          <w:rStyle w:val="Normal"/>
        </w:rPr>
        <w:t xml:space="preserve">5. </w:t>
      </w:r>
      <w:r>
        <w:rPr>
          <w:b/>
          <w:bCs/>
          <w:rStyle w:val="Normal"/>
        </w:rPr>
        <w:t xml:space="preserve">Consolidate and Streamline Operator Documentation</w:t>
      </w:r>
    </w:p>
    <w:p>
      <w:r>
        <w:rPr>
          <w:b/>
          <w:bCs/>
          <w:rStyle w:val="Normal"/>
        </w:rPr>
        <w:t xml:space="preserve">Original Issue:</w:t>
      </w:r>
      <w:r>
        <w:rPr>
          <w:rStyle w:val="Normal"/>
        </w:rPr>
        <w:t xml:space="preserve"> </w:t>
      </w:r>
      <w:r>
        <w:rPr>
          <w:i/>
          <w:iCs/>
          <w:rStyle w:val="Normal"/>
        </w:rPr>
        <w:t xml:space="preserve">Guidance for operators is fragmented across multiple documents and references (Runbook, Implementation Guide, Operator Usage, policy volumes), making it hard to find answers quickly. This is a </w:t>
      </w:r>
      <w:r>
        <w:rPr>
          <w:b/>
          <w:bCs/>
          <w:i/>
          <w:iCs/>
          <w:rStyle w:val="Normal"/>
        </w:rPr>
        <w:t xml:space="preserve">Medium-severity</w:t>
      </w:r>
      <w:r>
        <w:rPr>
          <w:i/>
          <w:iCs/>
          <w:rStyle w:val="Normal"/>
        </w:rPr>
        <w:t xml:space="preserve"> usability issue, affecting efficiency and consistency of operations.</w:t>
      </w:r>
      <w:r>
        <w:rPr>
          <w:rStyle w:val="Normal"/>
        </w:rPr>
        <w:t xml:space="preserve"> For example, the </w:t>
      </w:r>
      <w:r>
        <w:rPr>
          <w:b/>
          <w:bCs/>
          <w:rStyle w:val="Normal"/>
        </w:rPr>
        <w:t xml:space="preserve">Implementation Guide</w:t>
      </w:r>
      <w:r>
        <w:rPr>
          <w:rStyle w:val="Normal"/>
        </w:rPr>
        <w:t xml:space="preserve"> directs readers to </w:t>
      </w:r>
      <w:r>
        <w:rPr>
          <w:b/>
          <w:bCs/>
          <w:rStyle w:val="Normal"/>
        </w:rPr>
        <w:t xml:space="preserve">four separate documents</w:t>
      </w:r>
      <w:r>
        <w:rPr>
          <w:rStyle w:val="Normal"/>
        </w:rPr>
        <w:t xml:space="preserve"> for various details of operation and configuration, and the Operator Runbook itself is dense with cross-references to many policy volumes. This structure is comprehensive but not operator-friendly for rapid use. </w:t>
      </w:r>
      <w:hyperlink w:history="1" r:id="rIdd3ig8xbggmluvsod2lpdc">
        <w:r>
          <w:rPr>
            <w:rStyle w:val="Hyperlink"/>
          </w:rPr>
          <w:t xml:space="preserve">[2_Build_Delta | Word]</w:t>
        </w:r>
      </w:hyperlink>
      <w:r>
        <w:rPr>
          <w:rStyle w:val="Normal"/>
        </w:rPr>
        <w:t xml:space="preserve"> </w:t>
      </w:r>
      <w:hyperlink w:history="1" r:id="rIdstph5ocdigozph7svrv5q">
        <w:r>
          <w:rPr>
            <w:rStyle w:val="Hyperlink"/>
          </w:rPr>
          <w:t xml:space="preserve">[5_Operator_Usage | Word]</w:t>
        </w:r>
      </w:hyperlink>
      <w:r>
        <w:rPr>
          <w:rStyle w:val="Normal"/>
        </w:rPr>
        <w:t xml:space="preserve">, </w:t>
      </w:r>
      <w:hyperlink w:history="1" r:id="rIdilesowqfj264wdlkb0f6y">
        <w:r>
          <w:rPr>
            <w:rStyle w:val="Hyperlink"/>
          </w:rPr>
          <w:t xml:space="preserve">[5_Operator_Usage | Word]</w:t>
        </w:r>
      </w:hyperlink>
    </w:p>
    <w:p>
      <w:r>
        <w:rPr>
          <w:b/>
          <w:bCs/>
          <w:rStyle w:val="Normal"/>
        </w:rPr>
        <w:t xml:space="preserve">Recommended Fixes:</w:t>
      </w:r>
    </w:p>
    <w:p>
      <w:pPr>
        <w:pStyle w:val="ListParagraph"/>
        <w:pStyle w:val="ListParagraph"/>
        <w:numPr>
          <w:ilvl w:val="0"/>
          <w:numId w:val="1"/>
        </w:numPr>
        <w:numPr>
          <w:ilvl w:val="0"/>
          <w:numId w:val="6"/>
        </w:numPr>
      </w:pPr>
      <w:r>
        <w:rPr>
          <w:b/>
          <w:bCs/>
          <w:rStyle w:val="Normal"/>
        </w:rPr>
        <w:t xml:space="preserve">Single “Operator Handbook” or Playbook:</w:t>
      </w:r>
      <w:r>
        <w:rPr>
          <w:rStyle w:val="Normal"/>
        </w:rPr>
        <w:t xml:space="preserve"> </w:t>
      </w:r>
      <w:r>
        <w:rPr>
          <w:i/>
          <w:iCs/>
          <w:rStyle w:val="Normal"/>
        </w:rPr>
        <w:t xml:space="preserve">Combine the relevant operator-facing content from all sources into one cohesive handbook.</w:t>
      </w:r>
      <w:r>
        <w:rPr>
          <w:rStyle w:val="Normal"/>
        </w:rPr>
        <w:t xml:space="preserve"> This would unify the </w:t>
      </w:r>
      <w:r>
        <w:rPr>
          <w:b/>
          <w:bCs/>
          <w:rStyle w:val="Normal"/>
        </w:rPr>
        <w:t xml:space="preserve">Day-2 Operator Runbook</w:t>
      </w:r>
      <w:r>
        <w:rPr>
          <w:rStyle w:val="Normal"/>
        </w:rPr>
        <w:t xml:space="preserve">, </w:t>
      </w:r>
      <w:r>
        <w:rPr>
          <w:b/>
          <w:bCs/>
          <w:rStyle w:val="Normal"/>
        </w:rPr>
        <w:t xml:space="preserve">Operator Usage Guide</w:t>
      </w:r>
      <w:r>
        <w:rPr>
          <w:rStyle w:val="Normal"/>
        </w:rPr>
        <w:t xml:space="preserve">, and any critical parts of the Implementation Guide that operators need (such as the rollback procedure and support contacts). By having one updated reference, operators save time and avoid missing context. </w:t>
      </w:r>
      <w:r>
        <w:rPr>
          <w:b/>
          <w:bCs/>
          <w:rStyle w:val="Normal"/>
        </w:rPr>
        <w:t xml:space="preserve">Impact:</w:t>
      </w:r>
      <w:r>
        <w:rPr>
          <w:rStyle w:val="Normal"/>
        </w:rPr>
        <w:t xml:space="preserve"> Medium – improves ease of finding information; fosters consistency by reducing the chance of conflicting or outdated guidance. </w:t>
      </w:r>
      <w:r>
        <w:rPr>
          <w:b/>
          <w:bCs/>
          <w:rStyle w:val="Normal"/>
        </w:rPr>
        <w:t xml:space="preserve">Effort:</w:t>
      </w:r>
      <w:r>
        <w:rPr>
          <w:rStyle w:val="Normal"/>
        </w:rPr>
        <w:t xml:space="preserve"> </w:t>
      </w:r>
      <w:r>
        <w:rPr>
          <w:i/>
          <w:iCs/>
          <w:rStyle w:val="Normal"/>
        </w:rPr>
        <w:t xml:space="preserve">Medium</w:t>
      </w:r>
      <w:r>
        <w:rPr>
          <w:rStyle w:val="Normal"/>
        </w:rPr>
        <w:t xml:space="preserve"> (document consolidation and editorial effort). </w:t>
      </w:r>
      <w:r>
        <w:rPr>
          <w:b/>
          <w:bCs/>
          <w:rStyle w:val="Normal"/>
        </w:rPr>
        <w:t xml:space="preserve">Implementation:</w:t>
      </w:r>
      <w:r>
        <w:rPr>
          <w:rStyle w:val="Normal"/>
        </w:rPr>
        <w:t xml:space="preserve"> Form an editorial team (possibly from the Cloud Services team who authored the draft runbook) to merge and edit content into a single source. For example, incorporate the “What Changes, in One Table” summary from the runbook as a quick-reference section in the new handbook, and include the fail-closed troubleshooting guide from recommendation #1. Ensure the final handbook is reviewed/approved by the InfoSec and IT leadership (noting that the current runbook was an unapproved draft). </w:t>
      </w:r>
      <w:hyperlink w:history="1" r:id="rIdna5wyofgj9cri5bthtz8l">
        <w:r>
          <w:rPr>
            <w:rStyle w:val="Hyperlink"/>
          </w:rPr>
          <w:t xml:space="preserve">[5_Operator_Usage | Word]</w:t>
        </w:r>
      </w:hyperlink>
      <w:r>
        <w:rPr>
          <w:rStyle w:val="Normal"/>
        </w:rPr>
        <w:t xml:space="preserve"> </w:t>
      </w:r>
      <w:hyperlink w:history="1" r:id="rIdxurd6kfg7zkssgb5fw0s1">
        <w:r>
          <w:rPr>
            <w:rStyle w:val="Hyperlink"/>
          </w:rPr>
          <w:t xml:space="preserve">[5_Operator_Usage | Word]</w:t>
        </w:r>
      </w:hyperlink>
      <w:r>
        <w:rPr>
          <w:rStyle w:val="Normal"/>
        </w:rPr>
        <w:t xml:space="preserve">, </w:t>
      </w:r>
      <w:hyperlink w:history="1" r:id="rIdmy13e5llk70sdwxixls0f">
        <w:r>
          <w:rPr>
            <w:rStyle w:val="Hyperlink"/>
          </w:rPr>
          <w:t xml:space="preserve">[5_Operator_Usage | Word]</w:t>
        </w:r>
      </w:hyperlink>
    </w:p>
    <w:p>
      <w:pPr>
        <w:pStyle w:val="ListParagraph"/>
        <w:pStyle w:val="ListParagraph"/>
        <w:numPr>
          <w:ilvl w:val="0"/>
          <w:numId w:val="1"/>
        </w:numPr>
        <w:numPr>
          <w:ilvl w:val="0"/>
          <w:numId w:val="6"/>
        </w:numPr>
      </w:pPr>
      <w:r>
        <w:rPr>
          <w:b/>
          <w:bCs/>
          <w:rStyle w:val="Normal"/>
        </w:rPr>
        <w:t xml:space="preserve">Contextual Job Aids and Checklists:</w:t>
      </w:r>
      <w:r>
        <w:rPr>
          <w:rStyle w:val="Normal"/>
        </w:rPr>
        <w:t xml:space="preserve"> </w:t>
      </w:r>
      <w:r>
        <w:rPr>
          <w:i/>
          <w:iCs/>
          <w:rStyle w:val="Normal"/>
        </w:rPr>
        <w:t xml:space="preserve">Create supplementary quick-reference aids for daily use.</w:t>
      </w:r>
      <w:r>
        <w:rPr>
          <w:rStyle w:val="Normal"/>
        </w:rPr>
        <w:t xml:space="preserve"> For instance, develop a one-page </w:t>
      </w:r>
      <w:r>
        <w:rPr>
          <w:b/>
          <w:bCs/>
          <w:rStyle w:val="Normal"/>
        </w:rPr>
        <w:t xml:space="preserve">“Day-2 Ops Cheat Sheet”</w:t>
      </w:r>
      <w:r>
        <w:rPr>
          <w:rStyle w:val="Normal"/>
        </w:rPr>
        <w:t xml:space="preserve"> that lists each common task (password reset, MFA reset, onboarding/offboarding, etc.) with a </w:t>
      </w:r>
      <w:r>
        <w:rPr>
          <w:b/>
          <w:bCs/>
          <w:rStyle w:val="Normal"/>
        </w:rPr>
        <w:t xml:space="preserve">step-by-step summary</w:t>
      </w:r>
      <w:r>
        <w:rPr>
          <w:rStyle w:val="Normal"/>
        </w:rPr>
        <w:t xml:space="preserve"> of how to execute it under the new process. This can be distributed as a desk reference or posted on the internal knowledge portal. Operators can use it to quickly recall the correct sequence (Originate → Authorize → … → Close) without needing to parse lengthy policy text. Additionally, consider a checklist for handling failed requests (tying into the troubleshooting guide). </w:t>
      </w:r>
      <w:r>
        <w:rPr>
          <w:b/>
          <w:bCs/>
          <w:rStyle w:val="Normal"/>
        </w:rPr>
        <w:t xml:space="preserve">Impact:</w:t>
      </w:r>
      <w:r>
        <w:rPr>
          <w:rStyle w:val="Normal"/>
        </w:rPr>
        <w:t xml:space="preserve"> Medium – reinforces correct procedures and reduces mistakes, especially for infrequent tasks or new staff. </w:t>
      </w:r>
      <w:r>
        <w:rPr>
          <w:b/>
          <w:bCs/>
          <w:rStyle w:val="Normal"/>
        </w:rPr>
        <w:t xml:space="preserve">Effort:</w:t>
      </w:r>
      <w:r>
        <w:rPr>
          <w:rStyle w:val="Normal"/>
        </w:rPr>
        <w:t xml:space="preserve"> </w:t>
      </w:r>
      <w:r>
        <w:rPr>
          <w:i/>
          <w:iCs/>
          <w:rStyle w:val="Normal"/>
        </w:rPr>
        <w:t xml:space="preserve">Low</w:t>
      </w:r>
      <w:r>
        <w:rPr>
          <w:rStyle w:val="Normal"/>
        </w:rPr>
        <w:t xml:space="preserve"> (documentation work). </w:t>
      </w:r>
      <w:r>
        <w:rPr>
          <w:b/>
          <w:bCs/>
          <w:rStyle w:val="Normal"/>
        </w:rPr>
        <w:t xml:space="preserve">Implementation:</w:t>
      </w:r>
      <w:r>
        <w:rPr>
          <w:rStyle w:val="Normal"/>
        </w:rPr>
        <w:t xml:space="preserve"> Use the task workflows documented in the Operator Runbook (sections 2–9 for each task) to distill the </w:t>
      </w:r>
      <w:r>
        <w:rPr>
          <w:b/>
          <w:bCs/>
          <w:rStyle w:val="Normal"/>
        </w:rPr>
        <w:t xml:space="preserve">critical actions in order</w:t>
      </w:r>
      <w:r>
        <w:rPr>
          <w:rStyle w:val="Normal"/>
        </w:rPr>
        <w:t xml:space="preserve">. For example, the cheat sheet entry for </w:t>
      </w:r>
      <w:r>
        <w:rPr>
          <w:b/>
          <w:bCs/>
          <w:rStyle w:val="Normal"/>
        </w:rPr>
        <w:t xml:space="preserve">Password Reset</w:t>
      </w:r>
      <w:r>
        <w:rPr>
          <w:rStyle w:val="Normal"/>
        </w:rPr>
        <w:t xml:space="preserve"> might read: </w:t>
      </w:r>
      <w:r>
        <w:rPr>
          <w:i/>
          <w:iCs/>
          <w:rStyle w:val="Normal"/>
        </w:rPr>
        <w:t xml:space="preserve">“1) Verify identity with HR data (if user disabled, escalate to security); 2) Submit password_reset request in SN; 3) Ensure approval by authorized manager or MFA if self-service not applicable; 4) When reset is done, provide Temporary Access Pass out-of-band; 5) Confirm new credential works (system auto-verifies in both AD &amp; Entra) and that evidence record is generated.”</w:t>
      </w:r>
      <w:r>
        <w:rPr>
          <w:rStyle w:val="Normal"/>
        </w:rPr>
        <w:t xml:space="preserve"> Similar concise entries can be made for other tasks, focusing on operator actions and what to check at each step, using language from the runbook but simplified. </w:t>
      </w:r>
      <w:hyperlink w:history="1" r:id="rIdezxu-d3czthx7patgok47">
        <w:r>
          <w:rPr>
            <w:rStyle w:val="Hyperlink"/>
          </w:rPr>
          <w:t xml:space="preserve">[5_Operator_Usage | Word]</w:t>
        </w:r>
      </w:hyperlink>
      <w:r>
        <w:rPr>
          <w:rStyle w:val="Normal"/>
        </w:rPr>
        <w:t xml:space="preserve">, </w:t>
      </w:r>
      <w:hyperlink w:history="1" r:id="rIdmn-hse98ftjvfot_b8sq7">
        <w:r>
          <w:rPr>
            <w:rStyle w:val="Hyperlink"/>
          </w:rPr>
          <w:t xml:space="preserve">[5_Operator_Usage | Word]</w:t>
        </w:r>
      </w:hyperlink>
      <w:r>
        <w:rPr>
          <w:rStyle w:val="Normal"/>
        </w:rPr>
        <w:t xml:space="preserve"> </w:t>
      </w:r>
      <w:hyperlink w:history="1" r:id="rId-qjzf53izdgdfdpu1urdn">
        <w:r>
          <w:rPr>
            <w:rStyle w:val="Hyperlink"/>
          </w:rPr>
          <w:t xml:space="preserve">[5_Operator_Usage | Word]</w:t>
        </w:r>
      </w:hyperlink>
    </w:p>
    <w:p>
      <w:pPr>
        <w:pStyle w:val="ListParagraph"/>
        <w:pStyle w:val="ListParagraph"/>
        <w:numPr>
          <w:ilvl w:val="0"/>
          <w:numId w:val="1"/>
        </w:numPr>
        <w:numPr>
          <w:ilvl w:val="0"/>
          <w:numId w:val="6"/>
        </w:numPr>
      </w:pPr>
      <w:r>
        <w:rPr>
          <w:b/>
          <w:bCs/>
          <w:rStyle w:val="Normal"/>
        </w:rPr>
        <w:t xml:space="preserve">Living Documentation &amp; Feedback Loop:</w:t>
      </w:r>
      <w:r>
        <w:rPr>
          <w:rStyle w:val="Normal"/>
        </w:rPr>
        <w:t xml:space="preserve"> </w:t>
      </w:r>
      <w:r>
        <w:rPr>
          <w:i/>
          <w:iCs/>
          <w:rStyle w:val="Normal"/>
        </w:rPr>
        <w:t xml:space="preserve">Regularly update operator documentation based on field experience, and maintain an easy way for operators to provide feedback.</w:t>
      </w:r>
      <w:r>
        <w:rPr>
          <w:rStyle w:val="Normal"/>
        </w:rPr>
        <w:t xml:space="preserve"> Encourage the service-desk team to flag unclear instructions or new pain points. The OrgComp Day-2 Kit is still evolving (as noted by the draft status of the runbook and open issues like the untested AD leg verification timing). Establish an owner (e.g., the CSI Team) to keep the operator materials in sync with kit updates and to incorporate operator input. </w:t>
      </w:r>
      <w:r>
        <w:rPr>
          <w:b/>
          <w:bCs/>
          <w:rStyle w:val="Normal"/>
        </w:rPr>
        <w:t xml:space="preserve">Impact:</w:t>
      </w:r>
      <w:r>
        <w:rPr>
          <w:rStyle w:val="Normal"/>
        </w:rPr>
        <w:t xml:space="preserve"> Medium – ensures documentation remains relevant and easy to use, continuously improving its clarity and completeness. </w:t>
      </w:r>
      <w:r>
        <w:rPr>
          <w:b/>
          <w:bCs/>
          <w:rStyle w:val="Normal"/>
        </w:rPr>
        <w:t xml:space="preserve">Effort:</w:t>
      </w:r>
      <w:r>
        <w:rPr>
          <w:rStyle w:val="Normal"/>
        </w:rPr>
        <w:t xml:space="preserve"> </w:t>
      </w:r>
      <w:r>
        <w:rPr>
          <w:i/>
          <w:iCs/>
          <w:rStyle w:val="Normal"/>
        </w:rPr>
        <w:t xml:space="preserve">Medium</w:t>
      </w:r>
      <w:r>
        <w:rPr>
          <w:rStyle w:val="Normal"/>
        </w:rPr>
        <w:t xml:space="preserve"> (ongoing content maintenance). </w:t>
      </w:r>
      <w:r>
        <w:rPr>
          <w:b/>
          <w:bCs/>
          <w:rStyle w:val="Normal"/>
        </w:rPr>
        <w:t xml:space="preserve">Implementation:</w:t>
      </w:r>
      <w:r>
        <w:rPr>
          <w:rStyle w:val="Normal"/>
        </w:rPr>
        <w:t xml:space="preserve"> Assign an </w:t>
      </w:r>
      <w:r>
        <w:rPr>
          <w:b/>
          <w:bCs/>
          <w:rStyle w:val="Normal"/>
        </w:rPr>
        <w:t xml:space="preserve">Operator Documentation Steward</w:t>
      </w:r>
      <w:r>
        <w:rPr>
          <w:rStyle w:val="Normal"/>
        </w:rPr>
        <w:t xml:space="preserve"> (perhaps the </w:t>
      </w:r>
      <w:r>
        <w:rPr>
          <w:b/>
          <w:bCs/>
          <w:rStyle w:val="Normal"/>
        </w:rPr>
        <w:t xml:space="preserve">“rollback owner”</w:t>
      </w:r>
      <w:r>
        <w:rPr>
          <w:rStyle w:val="Normal"/>
        </w:rPr>
        <w:t xml:space="preserve"> or another operational lead) responsible for documentation quality. For instance, if operators commonly ask for the meaning of a KSI code or a step, the steward can update the handbook or system tooltips accordingly. </w:t>
      </w:r>
      <w:hyperlink w:history="1" r:id="rIdpodw0ks1cmnxsuvxmfxc3">
        <w:r>
          <w:rPr>
            <w:rStyle w:val="Hyperlink"/>
          </w:rPr>
          <w:t xml:space="preserve">[6_Usage_SA...ntegration | Word]</w:t>
        </w:r>
      </w:hyperlink>
      <w:r>
        <w:rPr>
          <w:rStyle w:val="Normal"/>
        </w:rPr>
        <w:t xml:space="preserve">, </w:t>
      </w:r>
      <w:hyperlink w:history="1" r:id="rIdiflse09l2ihabq0ly00bn">
        <w:r>
          <w:rPr>
            <w:rStyle w:val="Hyperlink"/>
          </w:rPr>
          <w:t xml:space="preserve">[6_Usage_SA...ntegration | Word]</w:t>
        </w:r>
      </w:hyperlink>
    </w:p>
    <w:p>
      <w:pPr>
        <w:pBdr>
          <w:top w:val="single" w:color="auto" w:sz="12"/>
        </w:pBdr>
        <w:spacing w:after="0"/>
      </w:pPr>
    </w:p>
    <w:p>
      <w:pPr>
        <w:pStyle w:val="Heading2"/>
      </w:pPr>
      <w:r>
        <w:rPr>
          <w:rStyle w:val="Normal"/>
        </w:rPr>
        <w:t xml:space="preserve">6. </w:t>
      </w:r>
      <w:r>
        <w:rPr>
          <w:b/>
          <w:bCs/>
          <w:rStyle w:val="Normal"/>
        </w:rPr>
        <w:t xml:space="preserve">Establish Clear Fallback &amp; Escalation Procedures</w:t>
      </w:r>
    </w:p>
    <w:p>
      <w:r>
        <w:rPr>
          <w:b/>
          <w:bCs/>
          <w:rStyle w:val="Normal"/>
        </w:rPr>
        <w:t xml:space="preserve">Original Issue:</w:t>
      </w:r>
      <w:r>
        <w:rPr>
          <w:rStyle w:val="Normal"/>
        </w:rPr>
        <w:t xml:space="preserve"> </w:t>
      </w:r>
      <w:r>
        <w:rPr>
          <w:i/>
          <w:iCs/>
          <w:rStyle w:val="Normal"/>
        </w:rPr>
        <w:t xml:space="preserve">The OrgComp processes are very strict (fail-closed on any discrepancy), and operators currently have no documented </w:t>
      </w:r>
      <w:r>
        <w:rPr>
          <w:b/>
          <w:bCs/>
          <w:i/>
          <w:iCs/>
          <w:rStyle w:val="Normal"/>
        </w:rPr>
        <w:t xml:space="preserve">“break-glass” alternative</w:t>
      </w:r>
      <w:r>
        <w:rPr>
          <w:i/>
          <w:iCs/>
          <w:rStyle w:val="Normal"/>
        </w:rPr>
        <w:t xml:space="preserve"> for exceptional situations. This is a </w:t>
      </w:r>
      <w:r>
        <w:rPr>
          <w:b/>
          <w:bCs/>
          <w:i/>
          <w:iCs/>
          <w:rStyle w:val="Normal"/>
        </w:rPr>
        <w:t xml:space="preserve">Low to Medium severity</w:t>
      </w:r>
      <w:r>
        <w:rPr>
          <w:i/>
          <w:iCs/>
          <w:rStyle w:val="Normal"/>
        </w:rPr>
        <w:t xml:space="preserve"> concern: rare, but if it occurs (e.g. multiple automated safeguards fail, or the system is down), operators might be unsure how to proceed without violating compliance.</w:t>
      </w:r>
    </w:p>
    <w:p>
      <w:r>
        <w:rPr>
          <w:b/>
          <w:bCs/>
          <w:rStyle w:val="Normal"/>
        </w:rPr>
        <w:t xml:space="preserve">Recommended Fixes:</w:t>
      </w:r>
    </w:p>
    <w:p>
      <w:pPr>
        <w:pStyle w:val="ListParagraph"/>
        <w:pStyle w:val="ListParagraph"/>
        <w:numPr>
          <w:ilvl w:val="0"/>
          <w:numId w:val="1"/>
        </w:numPr>
        <w:numPr>
          <w:ilvl w:val="0"/>
          <w:numId w:val="7"/>
        </w:numPr>
      </w:pPr>
      <w:r>
        <w:rPr>
          <w:b/>
          <w:bCs/>
          <w:rStyle w:val="Normal"/>
        </w:rPr>
        <w:t xml:space="preserve">Define an Emergency Operations Workflow:</w:t>
      </w:r>
      <w:r>
        <w:rPr>
          <w:rStyle w:val="Normal"/>
        </w:rPr>
        <w:t xml:space="preserve"> </w:t>
      </w:r>
      <w:r>
        <w:rPr>
          <w:i/>
          <w:iCs/>
          <w:rStyle w:val="Normal"/>
        </w:rPr>
        <w:t xml:space="preserve">Develop a controlled manual procedure for completing critical identity tasks when the Day-2 Kit is unavailable or must be bypassed.</w:t>
      </w:r>
      <w:r>
        <w:rPr>
          <w:rStyle w:val="Normal"/>
        </w:rPr>
        <w:t xml:space="preserve"> This should be a last resort, but necessary to maintain operations (for example, if ServiceNow or the MID server is down during an urgent security event). The procedure might involve using a hardened break-glass admin account or script to perform the change directly in AD/Entra, </w:t>
      </w:r>
      <w:r>
        <w:rPr>
          <w:b/>
          <w:bCs/>
          <w:rStyle w:val="Normal"/>
        </w:rPr>
        <w:t xml:space="preserve">with parallel evidence recording</w:t>
      </w:r>
      <w:r>
        <w:rPr>
          <w:rStyle w:val="Normal"/>
        </w:rPr>
        <w:t xml:space="preserve"> (even if by hand). Clearly delineate the steps and approvals required: e.g., require a manager plus ISSO approval (similar to pilot go/no-go approvals) to invoke this procedure, and log a manual evidence record of the action for later attestation. </w:t>
      </w:r>
      <w:r>
        <w:rPr>
          <w:b/>
          <w:bCs/>
          <w:rStyle w:val="Normal"/>
        </w:rPr>
        <w:t xml:space="preserve">Impact:</w:t>
      </w:r>
      <w:r>
        <w:rPr>
          <w:rStyle w:val="Normal"/>
        </w:rPr>
        <w:t xml:space="preserve"> Low frequency, but high importance – ensures even in worst-case scenarios, operators have a sanctioned path that maintains some evidence and approval trail, preserving OrgComp principles as much as possible. </w:t>
      </w:r>
      <w:r>
        <w:rPr>
          <w:b/>
          <w:bCs/>
          <w:rStyle w:val="Normal"/>
        </w:rPr>
        <w:t xml:space="preserve">Effort:</w:t>
      </w:r>
      <w:r>
        <w:rPr>
          <w:rStyle w:val="Normal"/>
        </w:rPr>
        <w:t xml:space="preserve"> </w:t>
      </w:r>
      <w:r>
        <w:rPr>
          <w:i/>
          <w:iCs/>
          <w:rStyle w:val="Normal"/>
        </w:rPr>
        <w:t xml:space="preserve">Medium</w:t>
      </w:r>
      <w:r>
        <w:rPr>
          <w:rStyle w:val="Normal"/>
        </w:rPr>
        <w:t xml:space="preserve"> (procedure development and training). </w:t>
      </w:r>
      <w:r>
        <w:rPr>
          <w:b/>
          <w:bCs/>
          <w:rStyle w:val="Normal"/>
        </w:rPr>
        <w:t xml:space="preserve">Implementation:</w:t>
      </w:r>
      <w:r>
        <w:rPr>
          <w:rStyle w:val="Normal"/>
        </w:rPr>
        <w:t xml:space="preserve"> Add a section in the </w:t>
      </w:r>
      <w:r>
        <w:rPr>
          <w:b/>
          <w:bCs/>
          <w:rStyle w:val="Normal"/>
        </w:rPr>
        <w:t xml:space="preserve">Operator Handbook</w:t>
      </w:r>
      <w:r>
        <w:rPr>
          <w:rStyle w:val="Normal"/>
        </w:rPr>
        <w:t xml:space="preserve"> and </w:t>
      </w:r>
      <w:r>
        <w:rPr>
          <w:b/>
          <w:bCs/>
          <w:rStyle w:val="Normal"/>
        </w:rPr>
        <w:t xml:space="preserve">operational policy</w:t>
      </w:r>
      <w:r>
        <w:rPr>
          <w:rStyle w:val="Normal"/>
        </w:rPr>
        <w:t xml:space="preserve"> titled “Emergency Manual Fulfillment Procedure,” which might reference the </w:t>
      </w:r>
      <w:r>
        <w:rPr>
          <w:b/>
          <w:bCs/>
          <w:rStyle w:val="Normal"/>
        </w:rPr>
        <w:t xml:space="preserve">rollback steps</w:t>
      </w:r>
      <w:r>
        <w:rPr>
          <w:rStyle w:val="Normal"/>
        </w:rPr>
        <w:t xml:space="preserve"> from the pilot plan (e.g., disabling kit components to prevent automated actions) and then performing the change through standard admin tools, under heightened oversight. Also, integrate this with the formal change management process so that any use of the break-glass method is tracked and later reviewed.</w:t>
      </w:r>
    </w:p>
    <w:p>
      <w:pPr>
        <w:pStyle w:val="ListParagraph"/>
        <w:pStyle w:val="ListParagraph"/>
        <w:numPr>
          <w:ilvl w:val="0"/>
          <w:numId w:val="1"/>
        </w:numPr>
        <w:numPr>
          <w:ilvl w:val="0"/>
          <w:numId w:val="7"/>
        </w:numPr>
      </w:pPr>
      <w:r>
        <w:rPr>
          <w:b/>
          <w:bCs/>
          <w:rStyle w:val="Normal"/>
        </w:rPr>
        <w:t xml:space="preserve">Assign and Train a “Rollback Owner” for Escalation:</w:t>
      </w:r>
      <w:r>
        <w:rPr>
          <w:rStyle w:val="Normal"/>
        </w:rPr>
        <w:t xml:space="preserve"> The pilot rollout plan already calls for naming a rollback owner and a go/no-go approver for the pilot phase. Extend this concept into steady-state operations by designating an on-call </w:t>
      </w:r>
      <w:r>
        <w:rPr>
          <w:b/>
          <w:bCs/>
          <w:rStyle w:val="Normal"/>
        </w:rPr>
        <w:t xml:space="preserve">Tier-3 support contact</w:t>
      </w:r>
      <w:r>
        <w:rPr>
          <w:rStyle w:val="Normal"/>
        </w:rPr>
        <w:t xml:space="preserve"> (likely a senior identity engineer or CSI team member) who can decide when to halt the automated flows (as per the rollback procedure) and coordinate manual intervention if needed. Ensure operators have the contact info and understand in which scenarios they should escalate to this person (for example, if multiple tasks fail in ways they cannot resolve, or evidence suggests a system-wide issue). </w:t>
      </w:r>
      <w:r>
        <w:rPr>
          <w:b/>
          <w:bCs/>
          <w:rStyle w:val="Normal"/>
        </w:rPr>
        <w:t xml:space="preserve">Impact:</w:t>
      </w:r>
      <w:r>
        <w:rPr>
          <w:rStyle w:val="Normal"/>
        </w:rPr>
        <w:t xml:space="preserve"> Medium – gives operators confidence that there is a safety net and clear leadership for complex incidents, shortening time to resolution in high-stakes cases. </w:t>
      </w:r>
      <w:r>
        <w:rPr>
          <w:b/>
          <w:bCs/>
          <w:rStyle w:val="Normal"/>
        </w:rPr>
        <w:t xml:space="preserve">Effort:</w:t>
      </w:r>
      <w:r>
        <w:rPr>
          <w:rStyle w:val="Normal"/>
        </w:rPr>
        <w:t xml:space="preserve"> </w:t>
      </w:r>
      <w:r>
        <w:rPr>
          <w:i/>
          <w:iCs/>
          <w:rStyle w:val="Normal"/>
        </w:rPr>
        <w:t xml:space="preserve">Low</w:t>
      </w:r>
      <w:r>
        <w:rPr>
          <w:rStyle w:val="Normal"/>
        </w:rPr>
        <w:t xml:space="preserve"> (mostly an organizational/communication step). </w:t>
      </w:r>
      <w:r>
        <w:rPr>
          <w:b/>
          <w:bCs/>
          <w:rStyle w:val="Normal"/>
        </w:rPr>
        <w:t xml:space="preserve">Implementation:</w:t>
      </w:r>
      <w:r>
        <w:rPr>
          <w:rStyle w:val="Normal"/>
        </w:rPr>
        <w:t xml:space="preserve"> Document the </w:t>
      </w:r>
      <w:r>
        <w:rPr>
          <w:b/>
          <w:bCs/>
          <w:rStyle w:val="Normal"/>
        </w:rPr>
        <w:t xml:space="preserve">escalation path</w:t>
      </w:r>
      <w:r>
        <w:rPr>
          <w:rStyle w:val="Normal"/>
        </w:rPr>
        <w:t xml:space="preserve"> and contact details in both the </w:t>
      </w:r>
      <w:r>
        <w:rPr>
          <w:b/>
          <w:bCs/>
          <w:rStyle w:val="Normal"/>
        </w:rPr>
        <w:t xml:space="preserve">Operator Handbook</w:t>
      </w:r>
      <w:r>
        <w:rPr>
          <w:rStyle w:val="Normal"/>
        </w:rPr>
        <w:t xml:space="preserve"> and in any failure notification templates. For instance, if a task fails in a pilot or production and triggers a stop condition, the procedure can say “notify the rollback owner (on-call Tier-3 support) with the evidence record ID and error details.” Reinforce this in drills or tabletop exercises.</w:t>
      </w:r>
    </w:p>
    <w:p>
      <w:pPr>
        <w:pBdr>
          <w:top w:val="single" w:color="auto" w:sz="12"/>
        </w:pBdr>
        <w:spacing w:after="0"/>
      </w:pPr>
    </w:p>
    <w:p>
      <w:pPr>
        <w:pStyle w:val="Heading2"/>
      </w:pPr>
      <w:r>
        <w:rPr>
          <w:rStyle w:val="Normal"/>
        </w:rPr>
        <w:t xml:space="preserve">7. </w:t>
      </w:r>
      <w:r>
        <w:rPr>
          <w:b/>
          <w:bCs/>
          <w:rStyle w:val="Normal"/>
        </w:rPr>
        <w:t xml:space="preserve">Optimize Process Efficiency and Operator Workload</w:t>
      </w:r>
    </w:p>
    <w:p>
      <w:r>
        <w:rPr>
          <w:i/>
          <w:iCs/>
          <w:rStyle w:val="Normal"/>
        </w:rPr>
        <w:t xml:space="preserve">(Cross-cutting consideration addressing multiple findings)</w:t>
      </w:r>
    </w:p>
    <w:p>
      <w:r>
        <w:rPr>
          <w:rStyle w:val="Normal"/>
        </w:rPr>
        <w:t xml:space="preserve">Even as we improve clarity and guidance, it’s important to continually look for ways to streamline day-2 operations without compromising controls. Some </w:t>
      </w:r>
      <w:r>
        <w:rPr>
          <w:b/>
          <w:bCs/>
          <w:rStyle w:val="Normal"/>
        </w:rPr>
        <w:t xml:space="preserve">operational tweaks</w:t>
      </w:r>
      <w:r>
        <w:rPr>
          <w:rStyle w:val="Normal"/>
        </w:rPr>
        <w:t xml:space="preserve"> can enhance efficiency:</w:t>
      </w:r>
    </w:p>
    <w:p>
      <w:pPr>
        <w:pStyle w:val="ListParagraph"/>
        <w:pStyle w:val="ListParagraph"/>
        <w:numPr>
          <w:ilvl w:val="0"/>
          <w:numId w:val="1"/>
        </w:numPr>
        <w:numPr>
          <w:ilvl w:val="0"/>
          <w:numId w:val="8"/>
        </w:numPr>
      </w:pPr>
      <w:r>
        <w:rPr>
          <w:b/>
          <w:bCs/>
          <w:rStyle w:val="Normal"/>
        </w:rPr>
        <w:t xml:space="preserve">Promote Self-Service for Routine Resets (Where Policy Permits):</w:t>
      </w:r>
      <w:r>
        <w:rPr>
          <w:rStyle w:val="Normal"/>
        </w:rPr>
        <w:t xml:space="preserve"> Offload simpler tasks from the service desk by encouraging end-user self-service for password resets and MFA resets in low-risk scenarios. The runbook notes that self-service is allowed by policy for certain password resets. </w:t>
      </w:r>
      <w:r>
        <w:rPr>
          <w:b/>
          <w:bCs/>
          <w:rStyle w:val="Normal"/>
        </w:rPr>
        <w:t xml:space="preserve">Implementation:</w:t>
      </w:r>
      <w:r>
        <w:rPr>
          <w:rStyle w:val="Normal"/>
        </w:rPr>
        <w:t xml:space="preserve"> Ensure the organization’s identity portal is configured to handle eligible resets (with proper identity proofing), so that operators handle only the cases that truly require service-desk involvement. This reduces their volume of requests and allows them to focus on more complex tasks. </w:t>
      </w:r>
      <w:hyperlink w:history="1" r:id="rId3h_tpmnaik1zxbqdvhrox">
        <w:r>
          <w:rPr>
            <w:rStyle w:val="Hyperlink"/>
          </w:rPr>
          <w:t xml:space="preserve">[5_Operator_Usage | Word]</w:t>
        </w:r>
      </w:hyperlink>
    </w:p>
    <w:p>
      <w:pPr>
        <w:pStyle w:val="ListParagraph"/>
        <w:pStyle w:val="ListParagraph"/>
        <w:numPr>
          <w:ilvl w:val="0"/>
          <w:numId w:val="1"/>
        </w:numPr>
        <w:numPr>
          <w:ilvl w:val="0"/>
          <w:numId w:val="8"/>
        </w:numPr>
      </w:pPr>
      <w:r>
        <w:rPr>
          <w:b/>
          <w:bCs/>
          <w:rStyle w:val="Normal"/>
        </w:rPr>
        <w:t xml:space="preserve">Reevaluate SLAs and Communication:</w:t>
      </w:r>
      <w:r>
        <w:rPr>
          <w:rStyle w:val="Normal"/>
        </w:rPr>
        <w:t xml:space="preserve"> Update internal SLAs and user-facing communications to reflect the new process. For example, if a password reset now typically takes longer because of multi-step verification and evidence recording, adjust the expected completion time in the service catalog and educate users accordingly. This isn’t a system “fix” per se, but it </w:t>
      </w:r>
      <w:r>
        <w:rPr>
          <w:b/>
          <w:bCs/>
          <w:rStyle w:val="Normal"/>
        </w:rPr>
        <w:t xml:space="preserve">aligns expectations</w:t>
      </w:r>
      <w:r>
        <w:rPr>
          <w:rStyle w:val="Normal"/>
        </w:rPr>
        <w:t xml:space="preserve"> and reduces pressure on operators to bend the process. Clear communication that “Password resets now require security verification and may take 15-30 minutes to complete” can prevent users from repeatedly calling the helpdesk for updates, thus reducing operator stress.</w:t>
      </w:r>
    </w:p>
    <w:p>
      <w:pPr>
        <w:pStyle w:val="ListParagraph"/>
        <w:pStyle w:val="ListParagraph"/>
        <w:numPr>
          <w:ilvl w:val="0"/>
          <w:numId w:val="1"/>
        </w:numPr>
        <w:numPr>
          <w:ilvl w:val="0"/>
          <w:numId w:val="8"/>
        </w:numPr>
      </w:pPr>
      <w:r>
        <w:rPr>
          <w:b/>
          <w:bCs/>
          <w:rStyle w:val="Normal"/>
        </w:rPr>
        <w:t xml:space="preserve">Monitor and Continually Improve:</w:t>
      </w:r>
      <w:r>
        <w:rPr>
          <w:rStyle w:val="Normal"/>
        </w:rPr>
        <w:t xml:space="preserve"> Use metrics from the evidence logs and push-outcome telemetry to identify where operators face the most friction. For example, if many tasks are stopping at the </w:t>
      </w:r>
      <w:r>
        <w:rPr>
          <w:b/>
          <w:bCs/>
          <w:rStyle w:val="Normal"/>
        </w:rPr>
        <w:t xml:space="preserve">authorize</w:t>
      </w:r>
      <w:r>
        <w:rPr>
          <w:rStyle w:val="Normal"/>
        </w:rPr>
        <w:t xml:space="preserve"> phase due to requester/approver conflicts or missing approvals, that might indicate a need to tweak the workflow or provide additional training on selecting the correct approver (to avoid SoD violations). Regularly reviewing these patterns will allow the team to implement targeted improvements (like more form logic, better routing rules, or refined training) in an iterative way. </w:t>
      </w:r>
      <w:hyperlink w:history="1" r:id="rIdn58ic-zyqcktoyrngtd9b">
        <w:r>
          <w:rPr>
            <w:rStyle w:val="Hyperlink"/>
          </w:rPr>
          <w:t xml:space="preserve">[3_Scripts | Word]</w:t>
        </w:r>
      </w:hyperlink>
    </w:p>
    <w:p>
      <w:pPr>
        <w:pBdr>
          <w:top w:val="single" w:color="auto" w:sz="12"/>
        </w:pBdr>
        <w:spacing w:after="0"/>
      </w:pPr>
    </w:p>
    <w:p>
      <w:pPr>
        <w:pStyle w:val="Heading2"/>
      </w:pPr>
      <w:r>
        <w:rPr>
          <w:b/>
          <w:bCs/>
          <w:rStyle w:val="Normal"/>
        </w:rPr>
        <w:t xml:space="preserve">Summary: Usability Findings and Key Fixes</w:t>
      </w:r>
    </w:p>
    <w:p>
      <w:r>
        <w:rPr>
          <w:rStyle w:val="Normal"/>
        </w:rPr>
        <w:t xml:space="preserve">The table below maps each major usability issue to the primary fixes proposed:</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b/>
                <w:bCs/>
                <w:rStyle w:val="Normal"/>
              </w:rPr>
              <w:t xml:space="preserve">Usability Issue (Original Finding)</w:t>
            </w:r>
          </w:p>
        </w:tc>
        <w:tc>
          <w:tcPr>
            <w:vAlign w:val="center"/>
          </w:tcPr>
          <w:p>
            <w:r>
              <w:rPr>
                <w:b/>
                <w:bCs/>
                <w:rStyle w:val="Normal"/>
              </w:rPr>
              <w:t xml:space="preserve">Key Recommended Fixes</w:t>
            </w:r>
            <w:r>
              <w:rPr>
                <w:rStyle w:val="Normal"/>
              </w:rPr>
              <w:t xml:space="preserve"> (Summary)</w:t>
            </w:r>
          </w:p>
        </w:tc>
      </w:tr>
      <w:tr>
        <w:tc>
          <w:tcPr>
            <w:vAlign w:val="center"/>
          </w:tcPr>
          <w:p>
            <w:r>
              <w:rPr>
                <w:b/>
                <w:bCs/>
                <w:rStyle w:val="Normal"/>
              </w:rPr>
              <w:t xml:space="preserve">Fail-closed tasks hard to diagnose</w:t>
            </w:r>
            <w:r>
              <w:rPr>
                <w:rStyle w:val="Normal"/>
              </w:rPr>
              <w:t xml:space="preserve"> (High)</w:t>
            </w:r>
          </w:p>
        </w:tc>
        <w:tc>
          <w:tcPr>
            <w:vAlign w:val="center"/>
          </w:tcPr>
          <w:p>
            <w:r>
              <w:rPr>
                <w:rStyle w:val="Normal"/>
              </w:rPr>
              <w:t xml:space="preserve">– Display failure cause &amp; clause (e.g. </w:t>
            </w:r>
            <w:r>
              <w:rPr>
                <w:b/>
                <w:bCs/>
                <w:rStyle w:val="Normal"/>
              </w:rPr>
              <w:t xml:space="preserve">stopped_at</w:t>
            </w:r>
            <w:r>
              <w:rPr>
                <w:rStyle w:val="Normal"/>
              </w:rPr>
              <w:t xml:space="preserve"> reason) directly on task UI </w:t>
            </w:r>
            <w:hyperlink w:history="1" r:id="rIdzghd2mgcvqo_n9ieagiyn">
              <w:r>
                <w:rPr>
                  <w:rStyle w:val="Hyperlink"/>
                </w:rPr>
                <w:t xml:space="preserve">[8_Operator_Runbook | Word]</w:t>
              </w:r>
            </w:hyperlink>
            <w:r>
              <w:rPr>
                <w:rStyle w:val="Normal"/>
              </w:rPr>
              <w:t xml:space="preserve">.</w:t>
            </w:r>
            <w:r>
              <w:rPr>
                <w:rStyle w:val="Normal"/>
              </w:rPr>
              <w:t xml:space="preserve">– Expand runbook with a </w:t>
            </w:r>
            <w:r>
              <w:rPr>
                <w:b/>
                <w:bCs/>
                <w:rStyle w:val="Normal"/>
              </w:rPr>
              <w:t xml:space="preserve">fail-closed troubleshooting matrix</w:t>
            </w:r>
            <w:r>
              <w:rPr>
                <w:rStyle w:val="Normal"/>
              </w:rPr>
              <w:t xml:space="preserve"> mapping stop clauses to causes &amp; resolution </w:t>
            </w:r>
            <w:hyperlink w:history="1" r:id="rIdrx7zmdafyg_7t3rpqalh2">
              <w:r>
                <w:rPr>
                  <w:rStyle w:val="Hyperlink"/>
                </w:rPr>
                <w:t xml:space="preserve">[3_Scripts | Word]</w:t>
              </w:r>
            </w:hyperlink>
            <w:r>
              <w:rPr>
                <w:rStyle w:val="Normal"/>
              </w:rPr>
              <w:t xml:space="preserve">.</w:t>
            </w:r>
            <w:r>
              <w:rPr>
                <w:rStyle w:val="Normal"/>
              </w:rPr>
              <w:t xml:space="preserve">– Provide an evidence viewer or automated extraction of evidence trail for operators </w:t>
            </w:r>
            <w:hyperlink w:history="1" r:id="rIdu1bmxniq4rht1ak06jcyf">
              <w:r>
                <w:rPr>
                  <w:rStyle w:val="Hyperlink"/>
                </w:rPr>
                <w:t xml:space="preserve">[8_Operator_Runbook | Word]</w:t>
              </w:r>
            </w:hyperlink>
            <w:r>
              <w:rPr>
                <w:rStyle w:val="Normal"/>
              </w:rPr>
              <w:t xml:space="preserve">, </w:t>
            </w:r>
            <w:hyperlink w:history="1" r:id="rIdmulpl5gseeageijovj9fm">
              <w:r>
                <w:rPr>
                  <w:rStyle w:val="Hyperlink"/>
                </w:rPr>
                <w:t xml:space="preserve">[3_Scripts | Word]</w:t>
              </w:r>
            </w:hyperlink>
            <w:r>
              <w:rPr>
                <w:rStyle w:val="Normal"/>
              </w:rPr>
              <w:t xml:space="preserve">.</w:t>
            </w:r>
          </w:p>
        </w:tc>
      </w:tr>
      <w:tr>
        <w:tc>
          <w:tcPr>
            <w:vAlign w:val="center"/>
          </w:tcPr>
          <w:p>
            <w:r>
              <w:rPr>
                <w:b/>
                <w:bCs/>
                <w:rStyle w:val="Normal"/>
              </w:rPr>
              <w:t xml:space="preserve">Heavy OrgComp jargon &amp; cognitive load</w:t>
            </w:r>
            <w:r>
              <w:rPr>
                <w:rStyle w:val="Normal"/>
              </w:rPr>
              <w:t xml:space="preserve"> (High)</w:t>
            </w:r>
          </w:p>
        </w:tc>
        <w:tc>
          <w:tcPr>
            <w:vAlign w:val="center"/>
          </w:tcPr>
          <w:p>
            <w:r>
              <w:rPr>
                <w:rStyle w:val="Normal"/>
              </w:rPr>
              <w:t xml:space="preserve">– </w:t>
            </w:r>
            <w:r>
              <w:rPr>
                <w:b/>
                <w:bCs/>
                <w:rStyle w:val="Normal"/>
              </w:rPr>
              <w:t xml:space="preserve">Simplify language</w:t>
            </w:r>
            <w:r>
              <w:rPr>
                <w:rStyle w:val="Normal"/>
              </w:rPr>
              <w:t xml:space="preserve"> in operator docs (explain acronyms like MACD-R, KSI in plain terms) </w:t>
            </w:r>
            <w:hyperlink w:history="1" r:id="rId3djbenjtrglbs4c1xmgtv">
              <w:r>
                <w:rPr>
                  <w:rStyle w:val="Hyperlink"/>
                </w:rPr>
                <w:t xml:space="preserve">[5_Operator_Usage | Word]</w:t>
              </w:r>
            </w:hyperlink>
            <w:r>
              <w:rPr>
                <w:rStyle w:val="Normal"/>
              </w:rPr>
              <w:t xml:space="preserve">.</w:t>
            </w:r>
            <w:r>
              <w:rPr>
                <w:rStyle w:val="Normal"/>
              </w:rPr>
              <w:t xml:space="preserve">– Provide a one-page </w:t>
            </w:r>
            <w:r>
              <w:rPr>
                <w:b/>
                <w:bCs/>
                <w:rStyle w:val="Normal"/>
              </w:rPr>
              <w:t xml:space="preserve">glossary/cheat-sheet</w:t>
            </w:r>
            <w:r>
              <w:rPr>
                <w:rStyle w:val="Normal"/>
              </w:rPr>
              <w:t xml:space="preserve"> of OrgComp terms and new process steps for quick reference </w:t>
            </w:r>
            <w:hyperlink w:history="1" r:id="rIduk0oojgiipzuss2lwt83e">
              <w:r>
                <w:rPr>
                  <w:rStyle w:val="Hyperlink"/>
                </w:rPr>
                <w:t xml:space="preserve">[5_Operator_Usage | Word]</w:t>
              </w:r>
            </w:hyperlink>
            <w:r>
              <w:rPr>
                <w:rStyle w:val="Normal"/>
              </w:rPr>
              <w:t xml:space="preserve">.</w:t>
            </w:r>
            <w:r>
              <w:rPr>
                <w:rStyle w:val="Normal"/>
              </w:rPr>
              <w:t xml:space="preserve">– Enhance training with </w:t>
            </w:r>
            <w:r>
              <w:rPr>
                <w:b/>
                <w:bCs/>
                <w:rStyle w:val="Normal"/>
              </w:rPr>
              <w:t xml:space="preserve">hands-on simulations</w:t>
            </w:r>
            <w:r>
              <w:rPr>
                <w:rStyle w:val="Normal"/>
              </w:rPr>
              <w:t xml:space="preserve"> in test mode (run sample tasks and failures).</w:t>
            </w:r>
          </w:p>
        </w:tc>
      </w:tr>
      <w:tr>
        <w:tc>
          <w:tcPr>
            <w:vAlign w:val="center"/>
          </w:tcPr>
          <w:p>
            <w:r>
              <w:rPr>
                <w:b/>
                <w:bCs/>
                <w:rStyle w:val="Normal"/>
              </w:rPr>
              <w:t xml:space="preserve">Unclear AD vs. Cloud routing &amp; sync delays</w:t>
            </w:r>
            <w:r>
              <w:rPr>
                <w:rStyle w:val="Normal"/>
              </w:rPr>
              <w:t xml:space="preserve"> (High)</w:t>
            </w:r>
          </w:p>
        </w:tc>
        <w:tc>
          <w:tcPr>
            <w:vAlign w:val="center"/>
          </w:tcPr>
          <w:p>
            <w:r>
              <w:rPr>
                <w:rStyle w:val="Normal"/>
              </w:rPr>
              <w:t xml:space="preserve">– </w:t>
            </w:r>
            <w:r>
              <w:rPr>
                <w:b/>
                <w:bCs/>
                <w:rStyle w:val="Normal"/>
              </w:rPr>
              <w:t xml:space="preserve">Indicate actuation path</w:t>
            </w:r>
            <w:r>
              <w:rPr>
                <w:rStyle w:val="Normal"/>
              </w:rPr>
              <w:t xml:space="preserve"> (AD vs Entra) on each request for operator awareness.</w:t>
            </w:r>
            <w:r>
              <w:rPr>
                <w:rStyle w:val="Normal"/>
              </w:rPr>
              <w:t xml:space="preserve">– Tweak verification for AD-leg tasks: add an automatic </w:t>
            </w:r>
            <w:r>
              <w:rPr>
                <w:b/>
                <w:bCs/>
                <w:rStyle w:val="Normal"/>
              </w:rPr>
              <w:t xml:space="preserve">delay/retry</w:t>
            </w:r>
            <w:r>
              <w:rPr>
                <w:rStyle w:val="Normal"/>
              </w:rPr>
              <w:t xml:space="preserve"> or a manual re-verify option to handle AD→Entra sync latency </w:t>
            </w:r>
            <w:hyperlink w:history="1" r:id="rIdr_l9yz2cqmrc8oa2dq7v0">
              <w:r>
                <w:rPr>
                  <w:rStyle w:val="Hyperlink"/>
                </w:rPr>
                <w:t xml:space="preserve">[3_Scripts | Word]</w:t>
              </w:r>
            </w:hyperlink>
            <w:r>
              <w:rPr>
                <w:rStyle w:val="Normal"/>
              </w:rPr>
              <w:t xml:space="preserve">.</w:t>
            </w:r>
            <w:r>
              <w:rPr>
                <w:rStyle w:val="Normal"/>
              </w:rPr>
              <w:t xml:space="preserve">– Mark </w:t>
            </w:r>
            <w:r>
              <w:rPr>
                <w:b/>
                <w:bCs/>
                <w:rStyle w:val="Normal"/>
              </w:rPr>
              <w:t xml:space="preserve">synced vs cloud-only accounts/groups</w:t>
            </w:r>
            <w:r>
              <w:rPr>
                <w:rStyle w:val="Normal"/>
              </w:rPr>
              <w:t xml:space="preserve"> in the UI so operators know where changes will occur.</w:t>
            </w:r>
          </w:p>
        </w:tc>
      </w:tr>
      <w:tr>
        <w:tc>
          <w:tcPr>
            <w:vAlign w:val="center"/>
          </w:tcPr>
          <w:p>
            <w:r>
              <w:rPr>
                <w:b/>
                <w:bCs/>
                <w:rStyle w:val="Normal"/>
              </w:rPr>
              <w:t xml:space="preserve">Multi-step workflow complexity</w:t>
            </w:r>
            <w:r>
              <w:rPr>
                <w:rStyle w:val="Normal"/>
              </w:rPr>
              <w:t xml:space="preserve"> (Medium)</w:t>
            </w:r>
          </w:p>
        </w:tc>
        <w:tc>
          <w:tcPr>
            <w:vAlign w:val="center"/>
          </w:tcPr>
          <w:p>
            <w:r>
              <w:rPr>
                <w:rStyle w:val="Normal"/>
              </w:rPr>
              <w:t xml:space="preserve">– Add in-form </w:t>
            </w:r>
            <w:r>
              <w:rPr>
                <w:b/>
                <w:bCs/>
                <w:rStyle w:val="Normal"/>
              </w:rPr>
              <w:t xml:space="preserve">prompts/validations</w:t>
            </w:r>
            <w:r>
              <w:rPr>
                <w:rStyle w:val="Normal"/>
              </w:rPr>
              <w:t xml:space="preserve"> (e.g., require approver, expiry date) to prevent mistakes </w:t>
            </w:r>
            <w:hyperlink w:history="1" r:id="rIdo6gejtyqunmqjccaiblze">
              <w:r>
                <w:rPr>
                  <w:rStyle w:val="Hyperlink"/>
                </w:rPr>
                <w:t xml:space="preserve">[3_Scripts | Word]</w:t>
              </w:r>
            </w:hyperlink>
            <w:r>
              <w:rPr>
                <w:rStyle w:val="Normal"/>
              </w:rPr>
              <w:t xml:space="preserve">.</w:t>
            </w:r>
            <w:r>
              <w:rPr>
                <w:rStyle w:val="Normal"/>
              </w:rPr>
              <w:t xml:space="preserve">– Show a </w:t>
            </w:r>
            <w:r>
              <w:rPr>
                <w:b/>
                <w:bCs/>
                <w:rStyle w:val="Normal"/>
              </w:rPr>
              <w:t xml:space="preserve">workflow progress indicator</w:t>
            </w:r>
            <w:r>
              <w:rPr>
                <w:rStyle w:val="Normal"/>
              </w:rPr>
              <w:t xml:space="preserve"> (e.g., “Awaiting Approval” → “Executing (AD)” → “Verifying”) for each request to orient operators.</w:t>
            </w:r>
            <w:r>
              <w:rPr>
                <w:rStyle w:val="Normal"/>
              </w:rPr>
              <w:t xml:space="preserve">– Auto-fill known fields and use derivation logic to reduce manual inputs (e.g., auto-populate entitlements from identity attributes) </w:t>
            </w:r>
            <w:hyperlink w:history="1" r:id="rIds5wrpcrg5envuz-fa-vuu">
              <w:r>
                <w:rPr>
                  <w:rStyle w:val="Hyperlink"/>
                </w:rPr>
                <w:t xml:space="preserve">[5_Operator_Usage | Word]</w:t>
              </w:r>
            </w:hyperlink>
            <w:r>
              <w:rPr>
                <w:rStyle w:val="Normal"/>
              </w:rPr>
              <w:t xml:space="preserve">.</w:t>
            </w:r>
          </w:p>
        </w:tc>
      </w:tr>
      <w:tr>
        <w:tc>
          <w:tcPr>
            <w:vAlign w:val="center"/>
          </w:tcPr>
          <w:p>
            <w:r>
              <w:rPr>
                <w:b/>
                <w:bCs/>
                <w:rStyle w:val="Normal"/>
              </w:rPr>
              <w:t xml:space="preserve">Fragmented documentation &amp; references</w:t>
            </w:r>
            <w:r>
              <w:rPr>
                <w:rStyle w:val="Normal"/>
              </w:rPr>
              <w:t xml:space="preserve"> (Medium)</w:t>
            </w:r>
          </w:p>
        </w:tc>
        <w:tc>
          <w:tcPr>
            <w:vAlign w:val="center"/>
          </w:tcPr>
          <w:p>
            <w:r>
              <w:rPr>
                <w:rStyle w:val="Normal"/>
              </w:rPr>
              <w:t xml:space="preserve">– Create a unified </w:t>
            </w:r>
            <w:r>
              <w:rPr>
                <w:b/>
                <w:bCs/>
                <w:rStyle w:val="Normal"/>
              </w:rPr>
              <w:t xml:space="preserve">Operator Handbook</w:t>
            </w:r>
            <w:r>
              <w:rPr>
                <w:rStyle w:val="Normal"/>
              </w:rPr>
              <w:t xml:space="preserve"> combining runbook, usage guide, and relevant pilot/implementation notes </w:t>
            </w:r>
            <w:hyperlink w:history="1" r:id="rIdlculuvqbbjd5s-8f2fbu_">
              <w:r>
                <w:rPr>
                  <w:rStyle w:val="Hyperlink"/>
                </w:rPr>
                <w:t xml:space="preserve">[2_Build_Delta | Word]</w:t>
              </w:r>
            </w:hyperlink>
            <w:r>
              <w:rPr>
                <w:rStyle w:val="Normal"/>
              </w:rPr>
              <w:t xml:space="preserve">.</w:t>
            </w:r>
            <w:r>
              <w:rPr>
                <w:rStyle w:val="Normal"/>
              </w:rPr>
              <w:t xml:space="preserve">– Provide task-specific </w:t>
            </w:r>
            <w:r>
              <w:rPr>
                <w:b/>
                <w:bCs/>
                <w:rStyle w:val="Normal"/>
              </w:rPr>
              <w:t xml:space="preserve">quick reference guides or checklists</w:t>
            </w:r>
            <w:r>
              <w:rPr>
                <w:rStyle w:val="Normal"/>
              </w:rPr>
              <w:t xml:space="preserve"> for common requests (e.g., “Password Reset Steps”) drawn from the runbook’s “OrgComp process” steps </w:t>
            </w:r>
            <w:hyperlink w:history="1" r:id="rIdi7rzcj4fndojoe2pg5sj7">
              <w:r>
                <w:rPr>
                  <w:rStyle w:val="Hyperlink"/>
                </w:rPr>
                <w:t xml:space="preserve">[5_Operator_Usage | Word]</w:t>
              </w:r>
            </w:hyperlink>
            <w:r>
              <w:rPr>
                <w:rStyle w:val="Normal"/>
              </w:rPr>
              <w:t xml:space="preserve">.</w:t>
            </w:r>
            <w:r>
              <w:rPr>
                <w:rStyle w:val="Normal"/>
              </w:rPr>
              <w:t xml:space="preserve">– Maintain a continuous improvement loop for documentation (assign ownership to update docs as the kit evolves and gather operator feedback on usability issues) </w:t>
            </w:r>
            <w:hyperlink w:history="1" r:id="rIdirx5jowmgujme7ugu1u_5">
              <w:r>
                <w:rPr>
                  <w:rStyle w:val="Hyperlink"/>
                </w:rPr>
                <w:t xml:space="preserve">[5_Operator_Usage | Word]</w:t>
              </w:r>
            </w:hyperlink>
            <w:r>
              <w:rPr>
                <w:rStyle w:val="Normal"/>
              </w:rPr>
              <w:t xml:space="preserve">, </w:t>
            </w:r>
            <w:hyperlink w:history="1" r:id="rIdg-qi6ypcnie-jfhrij9ee">
              <w:r>
                <w:rPr>
                  <w:rStyle w:val="Hyperlink"/>
                </w:rPr>
                <w:t xml:space="preserve">[6_Usage_SA...ntegration | Word]</w:t>
              </w:r>
            </w:hyperlink>
            <w:r>
              <w:rPr>
                <w:rStyle w:val="Normal"/>
              </w:rPr>
              <w:t xml:space="preserve">.</w:t>
            </w:r>
          </w:p>
        </w:tc>
      </w:tr>
      <w:tr>
        <w:tc>
          <w:tcPr>
            <w:vAlign w:val="center"/>
          </w:tcPr>
          <w:p>
            <w:r>
              <w:rPr>
                <w:b/>
                <w:bCs/>
                <w:rStyle w:val="Normal"/>
              </w:rPr>
              <w:t xml:space="preserve">Strict process, no defined fallback</w:t>
            </w:r>
            <w:r>
              <w:rPr>
                <w:rStyle w:val="Normal"/>
              </w:rPr>
              <w:t xml:space="preserve"> (Low/Med)</w:t>
            </w:r>
          </w:p>
        </w:tc>
        <w:tc>
          <w:tcPr>
            <w:vAlign w:val="center"/>
          </w:tcPr>
          <w:p>
            <w:r>
              <w:rPr>
                <w:rStyle w:val="Normal"/>
              </w:rPr>
              <w:t xml:space="preserve">– Develop a controlled </w:t>
            </w:r>
            <w:r>
              <w:rPr>
                <w:b/>
                <w:bCs/>
                <w:rStyle w:val="Normal"/>
              </w:rPr>
              <w:t xml:space="preserve">break-glass procedure</w:t>
            </w:r>
            <w:r>
              <w:rPr>
                <w:rStyle w:val="Normal"/>
              </w:rPr>
              <w:t xml:space="preserve"> for critical cases when the automated flow must be bypassed (with required approvals and post-action evidence logging).</w:t>
            </w:r>
            <w:r>
              <w:rPr>
                <w:rStyle w:val="Normal"/>
              </w:rPr>
              <w:t xml:space="preserve">– Assign a dedicated </w:t>
            </w:r>
            <w:r>
              <w:rPr>
                <w:b/>
                <w:bCs/>
                <w:rStyle w:val="Normal"/>
              </w:rPr>
              <w:t xml:space="preserve">rollback owner / Tier-3 support</w:t>
            </w:r>
            <w:r>
              <w:rPr>
                <w:rStyle w:val="Normal"/>
              </w:rPr>
              <w:t xml:space="preserve"> contact for escalations; train operators on when and how to escalate to this role.</w:t>
            </w:r>
          </w:p>
        </w:tc>
      </w:tr>
    </w:tbl>
    <w:p>
      <w:r>
        <w:rPr>
          <w:rStyle w:val="Normal"/>
        </w:rPr>
        <w:t xml:space="preserve">By implementing these targeted fixes, the </w:t>
      </w:r>
      <w:r>
        <w:rPr>
          <w:b/>
          <w:bCs/>
          <w:rStyle w:val="Normal"/>
        </w:rPr>
        <w:t xml:space="preserve">OrgComp Day‑2 Automation Kit</w:t>
      </w:r>
      <w:r>
        <w:rPr>
          <w:rStyle w:val="Normal"/>
        </w:rPr>
        <w:t xml:space="preserve"> can significantly improve its day-to-day usability for operators while preserving the strong controls and evidence features. The goal is to maintain </w:t>
      </w:r>
      <w:r>
        <w:rPr>
          <w:b/>
          <w:bCs/>
          <w:rStyle w:val="Normal"/>
        </w:rPr>
        <w:t xml:space="preserve">compliance and security</w:t>
      </w:r>
      <w:r>
        <w:rPr>
          <w:rStyle w:val="Normal"/>
        </w:rPr>
        <w:t xml:space="preserve"> (the core of OrgComp requirements) </w:t>
      </w:r>
      <w:r>
        <w:rPr>
          <w:i/>
          <w:iCs/>
          <w:rStyle w:val="Normal"/>
        </w:rPr>
        <w:t xml:space="preserve">without overburdening the service desk</w:t>
      </w:r>
      <w:r>
        <w:rPr>
          <w:rStyle w:val="Normal"/>
        </w:rPr>
        <w:t xml:space="preserve">. These adjustments — clearer cues, better documentation, integrated guidance, and defined backup plans — will help operators confidently navigate the new workflows, handle exceptions, and maintain a high standard of secure, efficient identity operations. Each recommendation aligns with insights from the existing OrgComp documentation and addresses the pain points identified in the pilot and initial rollout, ensuring that the solution is not only secure and compliant, but also truly </w:t>
      </w:r>
      <w:r>
        <w:rPr>
          <w:b/>
          <w:bCs/>
          <w:rStyle w:val="Normal"/>
        </w:rPr>
        <w:t xml:space="preserve">operationally usable</w:t>
      </w:r>
      <w:r>
        <w:rPr>
          <w:rStyle w:val="Normal"/>
        </w:rPr>
        <w:t xml:space="preser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awdvfaut8gdokehjwf9i"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zkmh8maiv9bm0l9dowlkl"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vm4vqff0qjxzjnfwfmhp_"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54soxd_wq0roy7scnewnk"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zlzmom5hr1e6-ecc9pbyx"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2753ux6qlwnjtd2dtqwyl"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vz-xosmexpk77oz_dva6y"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ourkhfr_6fgwn3ptgpz0l" Type="http://schemas.openxmlformats.org/officeDocument/2006/relationships/hyperlink" Target="https://socialsecuritygov-my.sharepoint.com/personal/michael_f_stratton_ssa_gov/_layouts/15/Doc.aspx?sourcedoc=%7B667C0A19-AA53-4D0B-8C13-064CAE540F22%7D&amp;file=9_Pilot_Rollout.docx&amp;action=default&amp;mobileredirect=true" TargetMode="External"/><Relationship Id="rIdgx-v_6v7zcgfeejjedoq6" Type="http://schemas.openxmlformats.org/officeDocument/2006/relationships/hyperlink" Target="https://socialsecuritygov-my.sharepoint.com/personal/michael_f_stratton_ssa_gov/_layouts/15/Doc.aspx?sourcedoc=%7B667C0A19-AA53-4D0B-8C13-064CAE540F22%7D&amp;file=9_Pilot_Rollout.docx&amp;action=default&amp;mobileredirect=true" TargetMode="External"/><Relationship Id="rIdawuernqt4pptrraln-8pf"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aegnr-jbq1df61je564dg"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qeglo2vsafxayujrhuq44"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jiszw0dhfuzqmixt_0loz"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qcp2kp0rkxbzvn7xvvjz5"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3w-cguk9bgy6xd_cmbcra"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p1armpmjv8lpe_xznlyto"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lujomtrltag0ov5cm8l6h"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aseaa_6kbq5hl7qpyfrfc"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emy9uckf9djhii5x3mzz3" Type="http://schemas.openxmlformats.org/officeDocument/2006/relationships/hyperlink" Target="https://socialsecuritygov-my.sharepoint.com/personal/michael_f_stratton_ssa_gov/_layouts/15/Doc.aspx?sourcedoc=%7B5D4FA75E-6839-48D2-98F9-5E8C1D89E58A%7D&amp;file=2_Build_Delta.docx&amp;action=default&amp;mobileredirect=true" TargetMode="External"/><Relationship Id="rIdlnjlixe2zm0jwlouf5l0r"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4ztxqpgrxb35oxfm4cnj4"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wdwz168y1dztveqt8il5b"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j9cpdqisze1r7yfjjjm_e" Type="http://schemas.openxmlformats.org/officeDocument/2006/relationships/hyperlink" Target="https://socialsecuritygov-my.sharepoint.com/personal/michael_f_stratton_ssa_gov/_layouts/15/Doc.aspx?sourcedoc=%7B9A47B985-14FD-4E4A-B61F-C59289759818%7D&amp;file=6_Usage_SAM_Integration.docx&amp;action=default&amp;mobileredirect=true" TargetMode="External"/><Relationship Id="rIdtwn4qwnz2xvbglr_lj_hc"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0qxte0xqev_xwnb_tbfsc"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ibjctcql2q4ixgcbfz_xe"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nzitblxsdqynwhpukyc64"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kqj-h_ueijophbfepbdpj"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wggun0orf6wkglhgfgagn"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noudvym00s8epvkfop-0l"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pcmmahqgj2vypnhvkm0md"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cel5rc3uzm4cnretfpqhv"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d3ig8xbggmluvsod2lpdc" Type="http://schemas.openxmlformats.org/officeDocument/2006/relationships/hyperlink" Target="https://socialsecuritygov-my.sharepoint.com/personal/michael_f_stratton_ssa_gov/_layouts/15/Doc.aspx?sourcedoc=%7B5D4FA75E-6839-48D2-98F9-5E8C1D89E58A%7D&amp;file=2_Build_Delta.docx&amp;action=default&amp;mobileredirect=true" TargetMode="External"/><Relationship Id="rIdstph5ocdigozph7svrv5q"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ilesowqfj264wdlkb0f6y"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na5wyofgj9cri5bthtz8l"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xurd6kfg7zkssgb5fw0s1"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my13e5llk70sdwxixls0f"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ezxu-d3czthx7patgok47"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mn-hse98ftjvfot_b8sq7"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qjzf53izdgdfdpu1urdn"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podw0ks1cmnxsuvxmfxc3" Type="http://schemas.openxmlformats.org/officeDocument/2006/relationships/hyperlink" Target="https://socialsecuritygov-my.sharepoint.com/personal/michael_f_stratton_ssa_gov/_layouts/15/Doc.aspx?sourcedoc=%7B9A47B985-14FD-4E4A-B61F-C59289759818%7D&amp;file=6_Usage_SAM_Integration.docx&amp;action=default&amp;mobileredirect=true" TargetMode="External"/><Relationship Id="rIdiflse09l2ihabq0ly00bn" Type="http://schemas.openxmlformats.org/officeDocument/2006/relationships/hyperlink" Target="https://socialsecuritygov-my.sharepoint.com/personal/michael_f_stratton_ssa_gov/_layouts/15/Doc.aspx?sourcedoc=%7B9A47B985-14FD-4E4A-B61F-C59289759818%7D&amp;file=6_Usage_SAM_Integration.docx&amp;action=default&amp;mobileredirect=true" TargetMode="External"/><Relationship Id="rId3h_tpmnaik1zxbqdvhrox"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n58ic-zyqcktoyrngtd9b"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zghd2mgcvqo_n9ieagiyn"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rx7zmdafyg_7t3rpqalh2"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u1bmxniq4rht1ak06jcyf" Type="http://schemas.openxmlformats.org/officeDocument/2006/relationships/hyperlink" Target="https://socialsecuritygov-my.sharepoint.com/personal/michael_f_stratton_ssa_gov/_layouts/15/Doc.aspx?sourcedoc=%7B6F0B2293-60A4-4237-8AA0-2692387C2546%7D&amp;file=8_Operator_Runbook.docx&amp;action=default&amp;mobileredirect=true" TargetMode="External"/><Relationship Id="rIdmulpl5gseeageijovj9fm"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3djbenjtrglbs4c1xmgtv"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uk0oojgiipzuss2lwt83e"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r_l9yz2cqmrc8oa2dq7v0"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o6gejtyqunmqjccaiblze" Type="http://schemas.openxmlformats.org/officeDocument/2006/relationships/hyperlink" Target="https://socialsecuritygov-my.sharepoint.com/personal/michael_f_stratton_ssa_gov/_layouts/15/Doc.aspx?sourcedoc=%7BBFC3EA4A-9AE4-494C-AA44-3D123A8E4B57%7D&amp;file=3_Scripts.docx&amp;action=default&amp;mobileredirect=true" TargetMode="External"/><Relationship Id="rIds5wrpcrg5envuz-fa-vuu"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lculuvqbbjd5s-8f2fbu_" Type="http://schemas.openxmlformats.org/officeDocument/2006/relationships/hyperlink" Target="https://socialsecuritygov-my.sharepoint.com/personal/michael_f_stratton_ssa_gov/_layouts/15/Doc.aspx?sourcedoc=%7B5D4FA75E-6839-48D2-98F9-5E8C1D89E58A%7D&amp;file=2_Build_Delta.docx&amp;action=default&amp;mobileredirect=true" TargetMode="External"/><Relationship Id="rIdi7rzcj4fndojoe2pg5sj7"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irx5jowmgujme7ugu1u_5" Type="http://schemas.openxmlformats.org/officeDocument/2006/relationships/hyperlink" Target="https://socialsecuritygov-my.sharepoint.com/personal/michael_f_stratton_ssa_gov/_layouts/15/Doc.aspx?sourcedoc=%7BEA250650-CA99-46A5-96D6-BB1E1FEC800B%7D&amp;file=5_Operator_Usage.docx&amp;action=default&amp;mobileredirect=true" TargetMode="External"/><Relationship Id="rIdg-qi6ypcnie-jfhrij9ee" Type="http://schemas.openxmlformats.org/officeDocument/2006/relationships/hyperlink" Target="https://socialsecuritygov-my.sharepoint.com/personal/michael_f_stratton_ssa_gov/_layouts/15/Doc.aspx?sourcedoc=%7B9A47B985-14FD-4E4A-B61F-C59289759818%7D&amp;file=6_Usage_SAM_Integration.docx&amp;action=default&amp;mobileredirect=true" TargetMode="External"/><Relationship Id="rId6" Type="http://schemas.openxmlformats.org/officeDocument/2006/relationships/image" Target="media/skzv33bz8vlbuqcnuuax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2026-08-18T12:03:42.757Z</dcterms:created>
  <dcterms:modified xsi:type="dcterms:W3CDTF">2026-08-18T12:03:42.757Z</dcterms:modified>
</cp:coreProperties>
</file>

<file path=docProps/custom.xml><?xml version="1.0" encoding="utf-8"?>
<Properties xmlns="http://schemas.openxmlformats.org/officeDocument/2006/custom-properties" xmlns:vt="http://schemas.openxmlformats.org/officeDocument/2006/docPropsVTypes"/>
</file>