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CANON POINTER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Governance Canon — all human-readable documentation, appendices, ADRs, diagrams, glossary, and onboarding guides — lives exclusively in: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https://github.com/WhalerMike/uiao-docs</w:t>
      </w:r>
    </w:p>
    <w:p>
      <w:pPr>
        <w:pStyle w:val="Heading2"/>
      </w:pPr>
      <w:r>
        <w:rPr>
          <w:color w:val="1B3A5C"/>
        </w:rPr>
        <w:t>Do NOT duplicate canon content in this repository.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This repository (uiao-core) contains </w:t>
      </w:r>
      <w:r>
        <w:rPr>
          <w:rFonts w:ascii="Calibri" w:hAnsi="Calibri"/>
          <w:b/>
          <w:i w:val="0"/>
          <w:sz w:val="22"/>
        </w:rPr>
        <w:t>machine artifacts only</w:t>
      </w:r>
      <w:r>
        <w:rPr>
          <w:rFonts w:ascii="Calibri" w:hAnsi="Calibri"/>
          <w:sz w:val="22"/>
        </w:rPr>
        <w:t>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Artifact Type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Location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Adapter schemas and transforms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`adapters/scuba/schemas/`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KSI evaluation scripts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`ksi/evaluations/`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KSI rules (YAML)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`ksi/rules/`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Provenance manifests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`provenance/manifests/`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Normalized SCuBA artifacts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`artifacts/scuba/normalized/`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GitHub Actions workflows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`.github/workflows/`</w:t>
            </w:r>
          </w:p>
        </w:tc>
      </w:tr>
    </w:tbl>
    <w:p>
      <w:pPr>
        <w:pStyle w:val="Heading2"/>
      </w:pPr>
      <w:r>
        <w:rPr>
          <w:color w:val="1B3A5C"/>
        </w:rPr>
        <w:t>Governance Separation Rule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&gt; Machine artifacts → `uiao-core` ONLY &gt; Human artifacts → `uiao-docs` ONLY &gt; No duplication across repos. This rule is non-negotiable.</w:t>
      </w:r>
    </w:p>
    <w:p>
      <w:pPr>
        <w:pStyle w:val="Heading2"/>
      </w:pPr>
      <w:r>
        <w:rPr>
          <w:color w:val="1B3A5C"/>
        </w:rPr>
        <w:t>Links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Canon site: https://whalermike.github.io/uiao-docs/ - Canon repo: https://github.com/WhalerMike/uiao-docs - Machine repo: https://github.com/WhalerMike/uiao-core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