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FedRAMP 20x Phase 2 Compliance Summary</w:t>
      </w:r>
    </w:p>
    <w:p>
      <w:pPr>
        <w:spacing w:before="120" w:after="120" w:line="276" w:lineRule="auto"/>
      </w:pPr>
      <w:r>
        <w:rPr>
          <w:rFonts w:ascii="Calibri" w:hAnsi="Calibri"/>
          <w:b/>
          <w:i w:val="0"/>
          <w:sz w:val="22"/>
        </w:rPr>
        <w:t>Version 1.0</w:t>
      </w:r>
    </w:p>
    <w:p>
      <w:pPr>
        <w:pStyle w:val="Heading1"/>
      </w:pPr>
      <w:r>
        <w:rPr>
          <w:color w:val="1B3A5C"/>
        </w:rPr>
        <w:t>Architecture Supporting FedRAMP 20x Phase 2</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Compliance Risks</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spacing w:before="120" w:after="120" w:line="276" w:lineRule="auto"/>
      </w:pPr>
      <w:r>
        <w:rPr>
          <w:rFonts w:ascii="Calibri" w:hAnsi="Calibri"/>
          <w:b w:val="0"/>
          <w:i/>
          <w:sz w:val="22"/>
        </w:rPr>
        <w:t>End of FedRAMP 20x Phase 2 Compliance Summary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