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Zero Trust Narrative</w:t>
      </w:r>
    </w:p>
    <w:p>
      <w:pPr>
        <w:spacing w:before="120" w:after="120" w:line="276" w:lineRule="auto"/>
      </w:pPr>
      <w:r>
        <w:rPr>
          <w:rFonts w:ascii="Calibri" w:hAnsi="Calibri"/>
          <w:b/>
          <w:i w:val="0"/>
          <w:sz w:val="22"/>
        </w:rPr>
        <w:t>Version 1.0</w:t>
      </w:r>
    </w:p>
    <w:p>
      <w:pPr>
        <w:pStyle w:val="Heading1"/>
      </w:pPr>
      <w:r>
        <w:rPr>
          <w:color w:val="1B3A5C"/>
        </w:rPr>
        <w:t>Identity as the Perimeter</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1"/>
      </w:pPr>
      <w:r>
        <w:rPr>
          <w:color w:val="1B3A5C"/>
        </w:rPr>
        <w:t>Governance as Automation</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spacing w:before="120" w:after="120" w:line="276" w:lineRule="auto"/>
      </w:pPr>
      <w:r>
        <w:rPr>
          <w:rFonts w:ascii="Calibri" w:hAnsi="Calibri"/>
          <w:b w:val="0"/>
          <w:i/>
          <w:sz w:val="22"/>
        </w:rPr>
        <w:t>End of Zero Trust Narrative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