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12 — Supply Chain Risk Management</w:t>
      </w:r>
    </w:p>
    <w:p>
      <w:r>
        <w:rPr>
          <w:i/>
          <w:color w:val="5A5A5A"/>
          <w:sz w:val="24"/>
        </w:rPr>
        <w:t>AAN module: the SBOM / VDR / VEX pipeline for the BOD 26-04 gate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Book_12 Supply Chain Risk Management &lt;https://github.com/WhalerMike/uiao/blob/main/inbox/Application%20Aware%20Networking/Book_12_Federal_Application_Aware_Networking_Supply_Chain_Risk_Management.qmd&gt; · </w:t>
      </w:r>
      <w:r>
        <w:rPr>
          <w:b/>
          <w:sz w:val="22"/>
        </w:rPr>
        <w:t>Evidence slot:</w:t>
      </w:r>
      <w:r>
        <w:rPr>
          <w:sz w:val="22"/>
        </w:rPr>
        <w:t xml:space="preserve"> 6 — security (KSI-CMT, CM-2 / AC-4) · </w:t>
      </w:r>
      <w:r>
        <w:rPr>
          <w:b/>
          <w:sz w:val="22"/>
        </w:rPr>
        <w:t>Track modules:</w:t>
      </w:r>
      <w:r>
        <w:rPr>
          <w:sz w:val="22"/>
        </w:rPr>
        <w:t xml:space="preserve"> A6, B6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technical architecture, CI/CD pipeline, and governance process for CISA BOD 26-04's </w:t>
      </w:r>
      <w:r>
        <w:rPr>
          <w:b/>
          <w:sz w:val="22"/>
        </w:rPr>
        <w:t>December 7, 2026</w:t>
      </w:r>
      <w:r>
        <w:rPr>
          <w:sz w:val="22"/>
        </w:rPr>
        <w:t xml:space="preserve"> SBOM/VDR/VER deadline under FedRAMP 20x. Thesis: a single automated </w:t>
      </w:r>
      <w:r>
        <w:rPr>
          <w:b/>
          <w:sz w:val="22"/>
        </w:rPr>
        <w:t>Syft → Grype → OpenVEX</w:t>
      </w:r>
      <w:r>
        <w:rPr>
          <w:sz w:val="22"/>
        </w:rPr>
        <w:t xml:space="preserve"> pipeline can simultaneously satisfy BOD 26-04's three tiers, close eight NIST SR-family controls, and provide the VER evidence contract that upgrades KSI-011–014 from scaffold to evaluable.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Explain BOD 26-04's three compliance tiers (SBOM, VDR, VEX) and their shared deadline.</w:t>
      </w:r>
    </w:p>
    <w:p>
      <w:pPr>
        <w:pStyle w:val="ListBullet"/>
      </w:pPr>
      <w:r>
        <w:rPr>
          <w:sz w:val="22"/>
        </w:rPr>
        <w:t>Build a GitHub Actions workflow that generates a CycloneDX 1.6 SBOM with Syft and a VDR with Grype on every push and release.</w:t>
      </w:r>
    </w:p>
    <w:p>
      <w:pPr>
        <w:pStyle w:val="ListBullet"/>
      </w:pPr>
      <w:r>
        <w:rPr>
          <w:sz w:val="22"/>
        </w:rPr>
        <w:t>Verify an SBOM against the NTIA minimum elements using CycloneDX fields (supplier, name, version, PURL, dependencies, author, timestamp).</w:t>
      </w:r>
    </w:p>
    <w:p>
      <w:pPr>
        <w:pStyle w:val="ListBullet"/>
      </w:pPr>
      <w:r>
        <w:rPr>
          <w:sz w:val="22"/>
        </w:rPr>
        <w:t>Author an OpenVEX statement with correct status, justification, impact statement, and action statement for a given CVE and deployment context.</w:t>
      </w:r>
    </w:p>
    <w:p>
      <w:pPr>
        <w:pStyle w:val="ListBullet"/>
      </w:pPr>
      <w:r>
        <w:rPr>
          <w:sz w:val="22"/>
        </w:rPr>
        <w:t>Implement KEV-catalog triage that escalates matching CVEs to P0 with the 14-day BOD 22-01 SLA.</w:t>
      </w:r>
    </w:p>
    <w:p>
      <w:pPr>
        <w:pStyle w:val="ListBullet"/>
      </w:pPr>
      <w:r>
        <w:rPr>
          <w:sz w:val="22"/>
        </w:rPr>
        <w:t>Map pipeline artifacts to SR-1 through SR-11 evidence and to KSI-011–014.</w:t>
      </w:r>
    </w:p>
    <w:p>
      <w:pPr>
        <w:pStyle w:val="ListBullet"/>
      </w:pPr>
      <w:r>
        <w:rPr>
          <w:sz w:val="22"/>
        </w:rPr>
        <w:t>Describe the SLSA Level 1→3 progression and what is implemented at each level.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Six-stage pipeline: source → Syft → Grype → VEX → immutable archive → CISA VEX Portal / Sentinel.</w:t>
      </w:r>
    </w:p>
    <w:p>
      <w:pPr>
        <w:pStyle w:val="ListBullet"/>
      </w:pPr>
      <w:r>
        <w:rPr>
          <w:sz w:val="22"/>
        </w:rPr>
        <w:t>CycloneDX 1.6 XML as the CISA-preferred format; OpenVEX v0.2.0 JSON.</w:t>
      </w:r>
    </w:p>
    <w:p>
      <w:pPr>
        <w:pStyle w:val="ListBullet"/>
      </w:pPr>
      <w:r>
        <w:rPr>
          <w:sz w:val="22"/>
        </w:rPr>
        <w:t>Four VEX status values (not_affected / affected / fixed / under_investigation; 7-day analysis window).</w:t>
      </w:r>
    </w:p>
    <w:p>
      <w:pPr>
        <w:pStyle w:val="ListBullet"/>
      </w:pPr>
      <w:r>
        <w:rPr>
          <w:sz w:val="22"/>
        </w:rPr>
        <w:t>Vendor disclosure matrix as SR-6 evidence.</w:t>
      </w:r>
    </w:p>
    <w:p>
      <w:pPr>
        <w:pStyle w:val="ListBullet"/>
      </w:pPr>
      <w:r>
        <w:rPr>
          <w:sz w:val="22"/>
        </w:rPr>
        <w:t>SLSA Level 2 target with Cosign/sigstore signing and GPG-signed manifests.</w:t>
      </w:r>
    </w:p>
    <w:p>
      <w:pPr>
        <w:pStyle w:val="ListBullet"/>
      </w:pPr>
      <w:r>
        <w:rPr>
          <w:sz w:val="22"/>
        </w:rPr>
        <w:t>Azure Blob immutable-tier storage, 7-year NARA retention; Sentinel KQL rule for KEV-overdue breaches.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Immediate (July 2026): install Syft/Grype in CI; generate initial SBOMs; register with vendor disclosure portals (MSRC, PSIRT, Infoblox).</w:t>
      </w:r>
    </w:p>
    <w:p>
      <w:pPr>
        <w:pStyle w:val="ListNumber"/>
      </w:pPr>
      <w:r>
        <w:rPr>
          <w:sz w:val="22"/>
        </w:rPr>
        <w:t>Phase 1 (Aug–Sep 2026): author initial VEX for critical/high CVEs; test CISA VEX Portal submission; require supplier SBOMs in acquisition policy.</w:t>
      </w:r>
    </w:p>
    <w:p>
      <w:pPr>
        <w:pStyle w:val="ListNumber"/>
      </w:pPr>
      <w:r>
        <w:rPr>
          <w:sz w:val="22"/>
        </w:rPr>
        <w:t>Phase 2 (Oct 2026): achieve SLSA Level 2 on release workflows.</w:t>
      </w:r>
    </w:p>
    <w:p>
      <w:pPr>
        <w:pStyle w:val="ListNumber"/>
      </w:pPr>
      <w:r>
        <w:rPr>
          <w:sz w:val="22"/>
        </w:rPr>
        <w:t>Phase 3 (Nov 2026): complete the VEX quarterly review cycle.</w:t>
      </w:r>
    </w:p>
    <w:p>
      <w:pPr>
        <w:pStyle w:val="ListNumber"/>
      </w:pPr>
      <w:r>
        <w:rPr>
          <w:sz w:val="22"/>
        </w:rPr>
        <w:t>Phase 4 (Dec 7, 2026): final BOD 26-04 VDR/VER submission.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SR-1, SR-2, SR-3, SR-5, SR-6, SR-8, SR-10, SR-11 (8 controls); CM-3, AU-6, CM-2, SA-10, CA-7, SA-11 via KSI mappings. FedRAMP 20x: KSI-SCR, KSI-CMT-VTD, KSI-011–014, KSI-MLA. EO 14028, NIST SP 800-161r1, BOD 26-04, BOD 22-01.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08 (Defender VM + KEV chain) and Book 10 (Sentinel ingestion, KQL). GitHub Actions CI/CD and Azure storage familiarity.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 xml:space="preserve">Build the </w:t>
      </w:r>
      <w:r>
        <w:rPr>
          <w:rFonts w:ascii="Consolas" w:hAnsi="Consolas"/>
          <w:sz w:val="22"/>
        </w:rPr>
        <w:t>sbom.yml</w:t>
      </w:r>
      <w:r>
        <w:rPr>
          <w:sz w:val="22"/>
        </w:rPr>
        <w:t xml:space="preserve"> workflow on a sample repo; validate Syft output against the NTIA element table.</w:t>
      </w:r>
    </w:p>
    <w:p>
      <w:pPr>
        <w:pStyle w:val="ListNumber"/>
      </w:pPr>
      <w:r>
        <w:rPr>
          <w:sz w:val="22"/>
        </w:rPr>
        <w:t>Run KEV triage against a Grype VDR containing a seeded KEV CVE and produce the escalation record.</w:t>
      </w:r>
    </w:p>
    <w:p>
      <w:pPr>
        <w:pStyle w:val="ListNumber"/>
      </w:pPr>
      <w:r>
        <w:rPr>
          <w:sz w:val="22"/>
        </w:rPr>
        <w:t xml:space="preserve">Author and GPG-sign an OpenVEX document asserting </w:t>
      </w:r>
      <w:r>
        <w:rPr>
          <w:rFonts w:ascii="Consolas" w:hAnsi="Consolas"/>
          <w:sz w:val="22"/>
        </w:rPr>
        <w:t>not_affected</w:t>
      </w:r>
      <w:r>
        <w:rPr>
          <w:sz w:val="22"/>
        </w:rPr>
        <w:t xml:space="preserve"> with a </w:t>
      </w:r>
      <w:r>
        <w:rPr>
          <w:rFonts w:ascii="Consolas" w:hAnsi="Consolas"/>
          <w:sz w:val="22"/>
        </w:rPr>
        <w:t>protected_by_mitigating_control</w:t>
      </w:r>
      <w:r>
        <w:rPr>
          <w:sz w:val="22"/>
        </w:rPr>
        <w:t xml:space="preserve"> justification.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VEX assertions require human judgment — automated reachability tools cannot assert deployment-context exploitability.</w:t>
      </w:r>
    </w:p>
    <w:p>
      <w:pPr>
        <w:pStyle w:val="ListBullet"/>
      </w:pPr>
      <w:r>
        <w:rPr>
          <w:rFonts w:ascii="Consolas" w:hAnsi="Consolas"/>
          <w:sz w:val="22"/>
        </w:rPr>
        <w:t>under_investigation</w:t>
      </w:r>
      <w:r>
        <w:rPr>
          <w:sz w:val="22"/>
        </w:rPr>
        <w:t xml:space="preserve"> has a hard 7-day window; don't let it become a parking state.</w:t>
      </w:r>
    </w:p>
    <w:p>
      <w:pPr>
        <w:pStyle w:val="ListBullet"/>
      </w:pPr>
      <w:r>
        <w:rPr>
          <w:sz w:val="22"/>
        </w:rPr>
        <w:t>KEV-listed CVEs left unresolved past 14 days breach BOD 22-01 (the KQL rule exists to catch this).</w:t>
      </w:r>
    </w:p>
    <w:p>
      <w:pPr>
        <w:pStyle w:val="ListBullet"/>
      </w:pPr>
      <w:r>
        <w:rPr>
          <w:sz w:val="22"/>
        </w:rPr>
        <w:t>SLSA Level 2 is only the initial target; Level 3 (branch protection + required reviewers) is needed before the authorization deadline.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Linux Foundation LFEL1007, OpenSSF free courses, FedRAMP PMO materials.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11 · </w:t>
      </w:r>
      <w:r>
        <w:rPr>
          <w:b/>
          <w:sz w:val="22"/>
        </w:rPr>
        <w:t>Next:</w:t>
      </w:r>
      <w:r>
        <w:rPr>
          <w:sz w:val="22"/>
        </w:rPr>
        <w:t xml:space="preserve"> Book 13 — Program Management &amp; Governance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