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14 — PII Processing &amp; Transparency</w:t>
      </w:r>
    </w:p>
    <w:p>
      <w:r>
        <w:rPr>
          <w:i/>
          <w:color w:val="5A5A5A"/>
          <w:sz w:val="24"/>
        </w:rPr>
        <w:t>AAN module: the PT-family documentation layer — SORNs, consent, notice, and special-category handling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Book_14 PII Processing Transparency &lt;https://github.com/WhalerMike/uiao/blob/main/inbox/Application%20Aware%20Networking/Book_14_Federal_Application_Aware_Networking_PII_Processing_Transparency.qmd&gt; · </w:t>
      </w:r>
      <w:r>
        <w:rPr>
          <w:b/>
          <w:sz w:val="22"/>
        </w:rPr>
        <w:t>Evidence slot:</w:t>
      </w:r>
      <w:r>
        <w:rPr>
          <w:sz w:val="22"/>
        </w:rPr>
        <w:t xml:space="preserve"> 5 — endpoint (KSI-PIY, CM-8 / IA-3) · </w:t>
      </w:r>
      <w:r>
        <w:rPr>
          <w:b/>
          <w:sz w:val="22"/>
        </w:rPr>
        <w:t>Track modules:</w:t>
      </w:r>
      <w:r>
        <w:rPr>
          <w:sz w:val="22"/>
        </w:rPr>
        <w:t xml:space="preserve"> A5, B6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The PT-family documentation layer — templates for privacy program governance, legal authority, purpose limitation, consent, notice, and special-category handling — for GCC Moderate systems processing PII. Thesis: </w:t>
      </w:r>
      <w:r>
        <w:rPr>
          <w:b/>
          <w:sz w:val="22"/>
        </w:rPr>
        <w:t>PT controls convert statutory privacy obligations (Privacy Act 1974, E-Gov Act 2002) into auditable ATO artifacts</w:t>
      </w:r>
      <w:r>
        <w:rPr>
          <w:sz w:val="22"/>
        </w:rPr>
        <w:t>; without them, a PII-touching FedRAMP Moderate system carries a significant POA&amp;M gap.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Draft a Privacy Program Plan (PT-1) co-owned by SAOP and CISO with a defined oversight cadence.</w:t>
      </w:r>
    </w:p>
    <w:p>
      <w:pPr>
        <w:pStyle w:val="ListBullet"/>
      </w:pPr>
      <w:r>
        <w:rPr>
          <w:sz w:val="22"/>
        </w:rPr>
        <w:t>Build a PT-2 legal authority matrix citing specific statutes per PII category, with retention and NIST 800-88 disposal.</w:t>
      </w:r>
    </w:p>
    <w:p>
      <w:pPr>
        <w:pStyle w:val="ListBullet"/>
      </w:pPr>
      <w:r>
        <w:rPr>
          <w:sz w:val="22"/>
        </w:rPr>
        <w:t>Determine when a SORN is required and execute the 40-day OMB/Congress comment and 30-day pre-collection Federal Register timeline.</w:t>
      </w:r>
    </w:p>
    <w:p>
      <w:pPr>
        <w:pStyle w:val="ListBullet"/>
      </w:pPr>
      <w:r>
        <w:rPr>
          <w:sz w:val="22"/>
        </w:rPr>
        <w:t>Distinguish statutory authority from consent-based collection and select the correct PT-4 consent pattern (opt-in checkbox, notice-at-collection, DSA).</w:t>
      </w:r>
    </w:p>
    <w:p>
      <w:pPr>
        <w:pStyle w:val="ListBullet"/>
      </w:pPr>
      <w:r>
        <w:rPr>
          <w:sz w:val="22"/>
        </w:rPr>
        <w:t>Compose an OMB M-03-22 compliant privacy notice with all six required elements, published at a machine-accessible URL.</w:t>
      </w:r>
    </w:p>
    <w:p>
      <w:pPr>
        <w:pStyle w:val="ListBullet"/>
      </w:pPr>
      <w:r>
        <w:rPr>
          <w:sz w:val="22"/>
        </w:rPr>
        <w:t>Apply PT-7 heightened protections (Purview labels, CMK encryption, access tiers, audit logging) to SSN, PHI, financial, and biometric data.</w:t>
      </w:r>
    </w:p>
    <w:p>
      <w:pPr>
        <w:pStyle w:val="ListBullet"/>
      </w:pPr>
      <w:r>
        <w:rPr>
          <w:sz w:val="22"/>
        </w:rPr>
        <w:t>Document end-to-end PII data flows and reconcile them against Purview lineage scans.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PT-1 PPP as the privacy parallel to PM-1's ISPP, sharing the AO approval chain.</w:t>
      </w:r>
    </w:p>
    <w:p>
      <w:pPr>
        <w:pStyle w:val="ListBullet"/>
      </w:pPr>
      <w:r>
        <w:rPr>
          <w:sz w:val="22"/>
        </w:rPr>
        <w:t>SORN workflow and the system-of-records trigger (retrieval by personal identifier).</w:t>
      </w:r>
    </w:p>
    <w:p>
      <w:pPr>
        <w:pStyle w:val="ListBullet"/>
      </w:pPr>
      <w:r>
        <w:rPr>
          <w:sz w:val="22"/>
        </w:rPr>
        <w:t>Purpose specification matrix mapped to Purview custom attributes for automated enforcement.</w:t>
      </w:r>
    </w:p>
    <w:p>
      <w:pPr>
        <w:pStyle w:val="ListBullet"/>
      </w:pPr>
      <w:r>
        <w:rPr>
          <w:sz w:val="22"/>
        </w:rPr>
        <w:t>Consent mechanism matrix spanning citizen portal, Amazon Connect call recording, analytics cookies (OMB M-10-22), cross-agency DSAs, HR records.</w:t>
      </w:r>
    </w:p>
    <w:p>
      <w:pPr>
        <w:pStyle w:val="ListBullet"/>
      </w:pPr>
      <w:r>
        <w:rPr>
          <w:sz w:val="22"/>
        </w:rPr>
        <w:t>OMB M-17-12 SSN policy: truncation to last 4, collection minimization, breach triggers.</w:t>
      </w:r>
    </w:p>
    <w:p>
      <w:pPr>
        <w:pStyle w:val="ListBullet"/>
      </w:pPr>
      <w:r>
        <w:rPr>
          <w:sz w:val="22"/>
        </w:rPr>
        <w:t>Special-category control matrix with Purview auto-labeling; PII Data Flow Registry with four mandatory scenarios; PTA→PIA→SORN→ATO milestone chain.</w:t>
      </w:r>
    </w:p>
    <w:p>
      <w:pPr>
        <w:pStyle w:val="Heading2"/>
      </w:pPr>
      <w:r>
        <w:rPr>
          <w:color w:val="0D1B2E"/>
        </w:rPr>
        <w:t>Compliance milestone sequence</w:t>
      </w:r>
    </w:p>
    <w:p>
      <w:pPr>
        <w:pStyle w:val="ListNumber"/>
      </w:pPr>
      <w:r>
        <w:rPr>
          <w:sz w:val="22"/>
        </w:rPr>
        <w:t>Privacy Threshold Analysis at system concept approval.</w:t>
      </w:r>
    </w:p>
    <w:p>
      <w:pPr>
        <w:pStyle w:val="ListNumber"/>
      </w:pPr>
      <w:r>
        <w:rPr>
          <w:sz w:val="22"/>
        </w:rPr>
        <w:t>PIA before design finalization; updated pre-go-live.</w:t>
      </w:r>
    </w:p>
    <w:p>
      <w:pPr>
        <w:pStyle w:val="ListNumber"/>
      </w:pPr>
      <w:r>
        <w:rPr>
          <w:sz w:val="22"/>
        </w:rPr>
        <w:t>SORN published ≥30 days before live PII collection.</w:t>
      </w:r>
    </w:p>
    <w:p>
      <w:pPr>
        <w:pStyle w:val="ListNumber"/>
      </w:pPr>
      <w:r>
        <w:rPr>
          <w:sz w:val="22"/>
        </w:rPr>
        <w:t>PT-1 PPP and PT-2 authority matrix approved before ATO submission.</w:t>
      </w:r>
    </w:p>
    <w:p>
      <w:pPr>
        <w:pStyle w:val="ListNumber"/>
      </w:pPr>
      <w:r>
        <w:rPr>
          <w:sz w:val="22"/>
        </w:rPr>
        <w:t>PT-3 purpose matrix completed with Purview attributes configured.</w:t>
      </w:r>
    </w:p>
    <w:p>
      <w:pPr>
        <w:pStyle w:val="ListNumber"/>
      </w:pPr>
      <w:r>
        <w:rPr>
          <w:sz w:val="22"/>
        </w:rPr>
        <w:t>PT-5 notice published at a stable URL, recorded in the SSP.</w:t>
      </w:r>
    </w:p>
    <w:p>
      <w:pPr>
        <w:pStyle w:val="ListNumber"/>
      </w:pPr>
      <w:r>
        <w:rPr>
          <w:sz w:val="22"/>
        </w:rPr>
        <w:t>Data-flow map with all four scenarios documented before ATO submission.</w:t>
      </w:r>
    </w:p>
    <w:p>
      <w:pPr>
        <w:pStyle w:val="ListNumber"/>
      </w:pPr>
      <w:r>
        <w:rPr>
          <w:sz w:val="22"/>
        </w:rPr>
        <w:t>First annual privacy review with the 3PAO within 365 days of ATO.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PT-1, PT-2, PT-3, PT-4, PT-5, PT-7 (6 controls); NIST SP 800-122, SP 800-88. FedRAMP 20x: indirect KSI coverage via KSI-PIY, KSI-DAT, KSI-IDM, KSI-CMT. OMB M-03-22, M-10-22, M-17-12, M-14-06, M-22-10, M-07-16, A-130; Privacy Act, E-Gov Act, HIPAA, GINA.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 09 (Purview labeling, CMK, lineage) and Book 13 (governance structure, Privacy Officer role in the RACI). Basic Privacy Act/SORN literacy helps.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Complete the PT-2 matrix and draft a SORN registry entry for a mock citizen-portal system, flagging the missing-SORN POA&amp;M case.</w:t>
      </w:r>
    </w:p>
    <w:p>
      <w:pPr>
        <w:pStyle w:val="ListNumber"/>
      </w:pPr>
      <w:r>
        <w:rPr>
          <w:sz w:val="22"/>
        </w:rPr>
        <w:t>Adapt the model Privacy Act Statement for a benefit-application form, writing both mandatory (SSN) and voluntary (email) disclosure blocks.</w:t>
      </w:r>
    </w:p>
    <w:p>
      <w:pPr>
        <w:pStyle w:val="ListNumber"/>
      </w:pPr>
      <w:r>
        <w:rPr>
          <w:sz w:val="22"/>
        </w:rPr>
        <w:t>Populate the data-flow registry for the Amazon Connect scenario and diff it against a simulated Purview lineage export to find an undocumented flow.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"General mission authority" is insufficient for PT-2 — every row needs a specific statutory citation.</w:t>
      </w:r>
    </w:p>
    <w:p>
      <w:pPr>
        <w:pStyle w:val="ListBullet"/>
      </w:pPr>
      <w:r>
        <w:rPr>
          <w:sz w:val="22"/>
        </w:rPr>
        <w:t>Pre-checked consent boxes are invalid; opt-in must be unchecked with voluntary-participation language.</w:t>
      </w:r>
    </w:p>
    <w:p>
      <w:pPr>
        <w:pStyle w:val="ListBullet"/>
      </w:pPr>
      <w:r>
        <w:rPr>
          <w:sz w:val="22"/>
        </w:rPr>
        <w:t>Undocumented flows found in Purview lineage but absent from the registry constitute potential unauthorized secondary use.</w:t>
      </w:r>
    </w:p>
    <w:p>
      <w:pPr>
        <w:pStyle w:val="ListBullet"/>
      </w:pPr>
      <w:r>
        <w:rPr>
          <w:sz w:val="22"/>
        </w:rPr>
        <w:t>SORN timing is unforgiving: 30 days pre-collection Federal Register publication, or a POA&amp;M item — go-live without it is a Privacy Act violation risk.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IAPP (CIPP/US, CIPM), SC-401.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13 · </w:t>
      </w:r>
      <w:r>
        <w:rPr>
          <w:b/>
          <w:sz w:val="22"/>
        </w:rPr>
        <w:t>Back to:</w:t>
      </w:r>
      <w:r>
        <w:rPr>
          <w:sz w:val="22"/>
        </w:rPr>
        <w:t xml:space="preserve"> Program charter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