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49.png" ContentType="image/png"/>
  <Override PartName="/word/media/rId24.png" ContentType="image/png"/>
  <Override PartName="/word/media/rId33.png" ContentType="image/png"/>
  <Override PartName="/word/media/rId43.png" ContentType="image/png"/>
  <Override PartName="/word/media/rId5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2">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3">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4">
              <w:r>
                <w:rPr>
                  <w:rStyle w:val="Hyperlink"/>
                </w:rPr>
                <w:t xml:space="preserve">Books 07</w:t>
              </w:r>
            </w:hyperlink>
            <w:r>
              <w:t xml:space="preserve"> </w:t>
            </w:r>
            <w:r>
              <w:t xml:space="preserve">and</w:t>
            </w:r>
            <w:r>
              <w:t xml:space="preserve"> </w:t>
            </w:r>
            <w:hyperlink r:id="rId15">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1"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1"/>
    <w:bookmarkStart w:id="32" w:name="Xc921039c84f515ae1a42fc6df48e74b7fc4a8d9"/>
    <w:p>
      <w:pPr>
        <w:pStyle w:val="Heading1"/>
      </w:pPr>
      <w:r>
        <w:t xml:space="preserve">2. The Death of Session-Based, Location-Bound Authentication</w:t>
      </w:r>
    </w:p>
    <w:bookmarkStart w:id="23"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2">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3"/>
    <w:bookmarkStart w:id="28" w:name="X5716ceb934c46d0ddf6c7e950446c3049c94a27"/>
    <w:p>
      <w:pPr>
        <w:pStyle w:val="Heading2"/>
      </w:pPr>
      <w:r>
        <w:t xml:space="preserve">2.2 What Multipath Does to a Session-Bound Ticket</w:t>
      </w:r>
    </w:p>
    <w:p>
      <w:pPr>
        <w:pStyle w:val="FirstParagraph"/>
      </w:pPr>
      <w:hyperlink r:id="rId22">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27" w:name="fig-ct01"/>
          <w:p>
            <w:pPr>
              <w:pStyle w:val="Compact"/>
              <w:jc w:val="center"/>
            </w:pPr>
            <w:r>
              <w:drawing>
                <wp:inline>
                  <wp:extent cx="5334000" cy="3000375"/>
                  <wp:effectExtent b="0" l="0" r="0" t="0"/>
                  <wp:docPr descr="" title="" id="25" name="Picture"/>
                  <a:graphic>
                    <a:graphicData uri="http://schemas.openxmlformats.org/drawingml/2006/picture">
                      <pic:pic>
                        <pic:nvPicPr>
                          <pic:cNvPr descr="figs/ct-fig-01-session-vs-credential.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27"/>
        </w:tc>
      </w:tr>
    </w:tbl>
    <w:bookmarkEnd w:id="28"/>
    <w:bookmarkStart w:id="29"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4">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29"/>
    <w:bookmarkStart w:id="30"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0"/>
    <w:bookmarkStart w:id="31"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2">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1"/>
    <w:bookmarkEnd w:id="32"/>
    <w:bookmarkStart w:id="40" w:name="pki-as-a-naming-plane-function"/>
    <w:p>
      <w:pPr>
        <w:pStyle w:val="Heading1"/>
      </w:pPr>
      <w:r>
        <w:t xml:space="preserve">3. PKI as a Naming-Plane Function</w:t>
      </w:r>
    </w:p>
    <w:bookmarkStart w:id="37"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2">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6" w:name="fig-ct02"/>
          <w:p>
            <w:pPr>
              <w:pStyle w:val="Compact"/>
              <w:jc w:val="center"/>
            </w:pPr>
            <w:r>
              <w:drawing>
                <wp:inline>
                  <wp:extent cx="5334000" cy="3000375"/>
                  <wp:effectExtent b="0" l="0" r="0" t="0"/>
                  <wp:docPr descr="" title="" id="34" name="Picture"/>
                  <a:graphic>
                    <a:graphicData uri="http://schemas.openxmlformats.org/drawingml/2006/picture">
                      <pic:pic>
                        <pic:nvPicPr>
                          <pic:cNvPr descr="figs/ct-fig-02-pki-naming-plane.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6"/>
        </w:tc>
      </w:tr>
    </w:tbl>
    <w:bookmarkEnd w:id="37"/>
    <w:bookmarkStart w:id="38"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3">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2">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4">
              <w:r>
                <w:rPr>
                  <w:rStyle w:val="Hyperlink"/>
                </w:rPr>
                <w:t xml:space="preserve">Books 07</w:t>
              </w:r>
            </w:hyperlink>
            <w:r>
              <w:t xml:space="preserve">–</w:t>
            </w:r>
            <w:hyperlink r:id="rId15">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bookmarkEnd w:id="38"/>
    <w:bookmarkStart w:id="39"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6"/>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6"/>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3">
        <w:r>
          <w:rPr>
            <w:rStyle w:val="Hyperlink"/>
          </w:rPr>
          <w:t xml:space="preserve">Book 02</w:t>
        </w:r>
      </w:hyperlink>
      <w:r>
        <w:t xml:space="preserve"> </w:t>
      </w:r>
      <w:r>
        <w:t xml:space="preserve">trusts the device-identity chain, not every certificate the agency ever minted.</w:t>
      </w:r>
    </w:p>
    <w:p>
      <w:pPr>
        <w:pStyle w:val="Compact"/>
        <w:numPr>
          <w:ilvl w:val="0"/>
          <w:numId w:val="1006"/>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6"/>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39"/>
    <w:bookmarkEnd w:id="40"/>
    <w:bookmarkStart w:id="53" w:name="X5640bec4ca7d998923d0137acff7faca70a4b04"/>
    <w:p>
      <w:pPr>
        <w:pStyle w:val="Heading1"/>
      </w:pPr>
      <w:r>
        <w:t xml:space="preserve">4. Certificate Lifecycle Automation — The End of the Spreadsheet CA</w:t>
      </w:r>
    </w:p>
    <w:bookmarkStart w:id="41"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7"/>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7"/>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7"/>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1"/>
    <w:bookmarkStart w:id="42"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2"/>
    <w:bookmarkStart w:id="47"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46" w:name="fig-ct03"/>
          <w:p>
            <w:pPr>
              <w:pStyle w:val="Compact"/>
              <w:jc w:val="center"/>
            </w:pPr>
            <w:r>
              <w:drawing>
                <wp:inline>
                  <wp:extent cx="5334000" cy="3000375"/>
                  <wp:effectExtent b="0" l="0" r="0" t="0"/>
                  <wp:docPr descr="" title="" id="44" name="Picture"/>
                  <a:graphic>
                    <a:graphicData uri="http://schemas.openxmlformats.org/drawingml/2006/picture">
                      <pic:pic>
                        <pic:nvPicPr>
                          <pic:cNvPr descr="figs/ct-fig-03-acme-lifecycle.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46"/>
        </w:tc>
      </w:tr>
    </w:tbl>
    <w:p>
      <w:pPr>
        <w:pStyle w:val="BodyText"/>
      </w:pPr>
      <w:r>
        <w:t xml:space="preserve">The replacement stack has three layers, all already procured by an agency that built Books 01–02:</w:t>
      </w:r>
    </w:p>
    <w:p>
      <w:pPr>
        <w:numPr>
          <w:ilvl w:val="0"/>
          <w:numId w:val="1008"/>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8"/>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8"/>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47"/>
    <w:bookmarkStart w:id="48"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09"/>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09"/>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09"/>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09"/>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48"/>
    <w:bookmarkStart w:id="52"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0"/>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0"/>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0"/>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2"/>
    <w:bookmarkEnd w:id="53"/>
    <w:bookmarkStart w:id="62" w:name="Xc9df5656c1d4a669725636b29f1a4c4eceb5ea4"/>
    <w:p>
      <w:pPr>
        <w:pStyle w:val="Heading1"/>
      </w:pPr>
      <w:r>
        <w:t xml:space="preserve">5. Token-Based Identity — OAuth 2.0, OIDC, and Phishing-Resistant MFA</w:t>
      </w:r>
    </w:p>
    <w:bookmarkStart w:id="54"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2">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1"/>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1"/>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1"/>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1"/>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4"/>
    <w:bookmarkStart w:id="55"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55"/>
    <w:bookmarkStart w:id="60"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59" w:name="fig-ct04"/>
          <w:p>
            <w:pPr>
              <w:pStyle w:val="Compact"/>
              <w:jc w:val="center"/>
            </w:pPr>
            <w:r>
              <w:drawing>
                <wp:inline>
                  <wp:extent cx="5334000" cy="3000375"/>
                  <wp:effectExtent b="0" l="0" r="0" t="0"/>
                  <wp:docPr descr="" title="" id="57" name="Picture"/>
                  <a:graphic>
                    <a:graphicData uri="http://schemas.openxmlformats.org/drawingml/2006/picture">
                      <pic:pic>
                        <pic:nvPicPr>
                          <pic:cNvPr descr="figs/ct-fig-04-token-issuance-gate.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59"/>
        </w:tc>
      </w:tr>
    </w:tbl>
    <w:bookmarkEnd w:id="60"/>
    <w:bookmarkStart w:id="61"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2"/>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2"/>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2"/>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1"/>
    <w:bookmarkEnd w:id="62"/>
    <w:bookmarkStart w:id="65"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65"/>
    <w:bookmarkStart w:id="73" w:name="machine-and-workload-identity"/>
    <w:p>
      <w:pPr>
        <w:pStyle w:val="Heading1"/>
      </w:pPr>
      <w:r>
        <w:t xml:space="preserve">7. Machine and Workload Identity</w:t>
      </w:r>
    </w:p>
    <w:bookmarkStart w:id="70"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ct05"/>
          <w:p>
            <w:pPr>
              <w:pStyle w:val="Compact"/>
              <w:jc w:val="center"/>
            </w:pPr>
            <w:r>
              <w:drawing>
                <wp:inline>
                  <wp:extent cx="5334000" cy="3000375"/>
                  <wp:effectExtent b="0" l="0" r="0" t="0"/>
                  <wp:docPr descr="" title="" id="67" name="Picture"/>
                  <a:graphic>
                    <a:graphicData uri="http://schemas.openxmlformats.org/drawingml/2006/picture">
                      <pic:pic>
                        <pic:nvPicPr>
                          <pic:cNvPr descr="figs/ct-fig-05-workload-identity.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69"/>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0"/>
    <w:bookmarkStart w:id="71"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1"/>
    <w:bookmarkStart w:id="72" w:name="what-this-sets-up"/>
    <w:p>
      <w:pPr>
        <w:pStyle w:val="Heading2"/>
      </w:pPr>
      <w:r>
        <w:t xml:space="preserve">7.3 What This Sets Up</w:t>
      </w:r>
    </w:p>
    <w:p>
      <w:pPr>
        <w:pStyle w:val="FirstParagraph"/>
      </w:pPr>
      <w:r>
        <w:t xml:space="preserve">This is the hinge to the application books.</w:t>
      </w:r>
      <w:r>
        <w:t xml:space="preserve"> </w:t>
      </w:r>
      <w:hyperlink r:id="rId14">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5">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2"/>
    <w:bookmarkEnd w:id="73"/>
    <w:bookmarkStart w:id="78"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4"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4">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4"/>
    <w:bookmarkStart w:id="75"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75"/>
    <w:bookmarkStart w:id="76"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76"/>
    <w:bookmarkStart w:id="77"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5">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77"/>
    <w:bookmarkEnd w:id="78"/>
    <w:bookmarkStart w:id="83"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1">
              <w:r>
                <w:rPr>
                  <w:rStyle w:val="Hyperlink"/>
                </w:rPr>
                <w:t xml:space="preserve">Book 00</w:t>
              </w:r>
            </w:hyperlink>
            <w:r>
              <w:t xml:space="preserve">;</w:t>
            </w:r>
            <w:r>
              <w:t xml:space="preserve"> </w:t>
            </w:r>
            <w:hyperlink r:id="rId82">
              <w:r>
                <w:rPr>
                  <w:rStyle w:val="Hyperlink"/>
                </w:rPr>
                <w:t xml:space="preserve">Book 19</w:t>
              </w:r>
            </w:hyperlink>
            <w:r>
              <w:t xml:space="preserve"> </w:t>
            </w:r>
            <w:r>
              <w:t xml:space="preserve">carries the evidence procedures behind it.</w:t>
            </w:r>
          </w:p>
          <w:p/>
        </w:tc>
      </w:tr>
    </w:tbl>
    <w:bookmarkEnd w:id="83"/>
    <w:bookmarkStart w:id="86"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3"/>
        </w:numPr>
      </w:pPr>
      <w:hyperlink r:id="rId12">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3"/>
        </w:numPr>
      </w:pPr>
      <w:hyperlink r:id="rId13">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3"/>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2">
        <w:r>
          <w:rPr>
            <w:rStyle w:val="Hyperlink"/>
          </w:rPr>
          <w:t xml:space="preserve">Book 05</w:t>
        </w:r>
      </w:hyperlink>
      <w:r>
        <w:t xml:space="preserve"> </w:t>
      </w:r>
      <w:r>
        <w:t xml:space="preserve">and</w:t>
      </w:r>
      <w:r>
        <w:t xml:space="preserve"> </w:t>
      </w:r>
      <w:hyperlink r:id="rId84">
        <w:r>
          <w:rPr>
            <w:rStyle w:val="Hyperlink"/>
          </w:rPr>
          <w:t xml:space="preserve">Book 06</w:t>
        </w:r>
      </w:hyperlink>
      <w:r>
        <w:t xml:space="preserve"> </w:t>
      </w:r>
      <w:r>
        <w:t xml:space="preserve">modernize the transport that made this identity model mandatory.</w:t>
      </w:r>
      <w:r>
        <w:t xml:space="preserve"> </w:t>
      </w:r>
      <w:hyperlink r:id="rId14">
        <w:r>
          <w:rPr>
            <w:rStyle w:val="Hyperlink"/>
          </w:rPr>
          <w:t xml:space="preserve">Books 07</w:t>
        </w:r>
      </w:hyperlink>
      <w:r>
        <w:t xml:space="preserve">–</w:t>
      </w:r>
      <w:hyperlink r:id="rId15">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2">
        <w:r>
          <w:rPr>
            <w:rStyle w:val="Hyperlink"/>
          </w:rPr>
          <w:t xml:space="preserve">Book 19</w:t>
        </w:r>
      </w:hyperlink>
      <w:r>
        <w:t xml:space="preserve"> </w:t>
      </w:r>
      <w:r>
        <w:t xml:space="preserve">assembles it into the authorization package.</w:t>
      </w:r>
    </w:p>
    <w:bookmarkStart w:id="85"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1" Target="Book_00_FedAAN_Executive_Summary.qmd" TargetMode="External" /><Relationship Type="http://schemas.openxmlformats.org/officeDocument/2006/relationships/hyperlink" Id="rId12" Target="Book_01_FedAAN_SSA_Landing_Zone_IPAM_FedRAMP.qmd" TargetMode="External" /><Relationship Type="http://schemas.openxmlformats.org/officeDocument/2006/relationships/hyperlink" Id="rId13" Target="Book_02_FedAAN_Network_Access_Control_802_1X.qmd" TargetMode="External" /><Relationship Type="http://schemas.openxmlformats.org/officeDocument/2006/relationships/hyperlink" Id="rId22" Target="Book_05_FedAAN_Network_Modernization.qmd" TargetMode="External" /><Relationship Type="http://schemas.openxmlformats.org/officeDocument/2006/relationships/hyperlink" Id="rId84" Target="Book_06_FedAAN_Federal_Telecommunications_Modernization.qmd" TargetMode="External" /><Relationship Type="http://schemas.openxmlformats.org/officeDocument/2006/relationships/hyperlink" Id="rId14" Target="Book_07_FedAAN_SQL_Server_Authentication_Modernization.qmd" TargetMode="External" /><Relationship Type="http://schemas.openxmlformats.org/officeDocument/2006/relationships/hyperlink" Id="rId15" Target="Book_08_FedAAN_SQL_Server_Implementation_Guide.qmd" TargetMode="External" /><Relationship Type="http://schemas.openxmlformats.org/officeDocument/2006/relationships/hyperlink" Id="rId82"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2026-07-06T11:38:10Z</dcterms:created>
  <dcterms:modified xsi:type="dcterms:W3CDTF">2026-07-06T11:38:10Z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