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15 — Federal Application-Aware Networking — Part 15</w:t>
      </w:r>
    </w:p>
    <w:p>
      <w:pPr>
        <w:pStyle w:val="Subtitle"/>
      </w:pPr>
      <w:r>
        <w:t xml:space="preserve">Supply Chain Risk Management: SBOM, VDR, and VER Framework for FedRAMP 20x and BOD 26-04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Supply chain risk is the fastest-growing attack vector in the federal technology</w:t>
      </w:r>
      <w:r>
        <w:t xml:space="preserve"> </w:t>
      </w:r>
      <w:r>
        <w:t xml:space="preserve">landscape. Executive Order 14028 (May 2021), NIST SP 800-161r1, and CISA</w:t>
      </w:r>
      <w:r>
        <w:t xml:space="preserve"> </w:t>
      </w:r>
      <w:r>
        <w:t xml:space="preserve">Binding Operational Directive 26-04 together establish a mandatory framework:</w:t>
      </w:r>
      <w:r>
        <w:t xml:space="preserve"> </w:t>
      </w:r>
      <w:r>
        <w:t xml:space="preserve">agencies must be able to enumerate every software component in their production</w:t>
      </w:r>
      <w:r>
        <w:t xml:space="preserve"> </w:t>
      </w:r>
      <w:r>
        <w:t xml:space="preserve">systems, disclose vulnerability status for those components, and demonstrate</w:t>
      </w:r>
      <w:r>
        <w:t xml:space="preserve"> </w:t>
      </w:r>
      <w:r>
        <w:t xml:space="preserve">that exploitable vulnerabilities are tracked, triaged, and remediated.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December 7, 2026 BOD 26-04 VDR/VER deadline</w:t>
      </w:r>
      <w:r>
        <w:t xml:space="preserve"> </w:t>
      </w:r>
      <w:r>
        <w:t xml:space="preserve">is the hardest date in the</w:t>
      </w:r>
      <w:r>
        <w:t xml:space="preserve"> </w:t>
      </w:r>
      <w:r>
        <w:t xml:space="preserve">FedRAMP 20x compliance calendar for SSA. It requires: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Software Bill of Materials (SBOM)</w:t>
      </w:r>
      <w:r>
        <w:t xml:space="preserve"> </w:t>
      </w:r>
      <w:r>
        <w:t xml:space="preserve">for every system — a machine-readable</w:t>
      </w:r>
      <w:r>
        <w:t xml:space="preserve"> </w:t>
      </w:r>
      <w:r>
        <w:t xml:space="preserve">inventory of every software component, version, and supplier in production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Disclosure Report (VDR)</w:t>
      </w:r>
      <w:r>
        <w:t xml:space="preserve"> </w:t>
      </w:r>
      <w:r>
        <w:t xml:space="preserve">— a structured enumeration of</w:t>
      </w:r>
      <w:r>
        <w:t xml:space="preserve"> </w:t>
      </w:r>
      <w:r>
        <w:t xml:space="preserve">known vulnerabilities in SBOM components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Exploitability eXchange (VEX)</w:t>
      </w:r>
      <w:r>
        <w:t xml:space="preserve"> </w:t>
      </w:r>
      <w:r>
        <w:t xml:space="preserve">document — a machine-readable</w:t>
      </w:r>
      <w:r>
        <w:t xml:space="preserve"> </w:t>
      </w:r>
      <w:r>
        <w:t xml:space="preserve">assertion for each CVE: is this vulnerability exploitable in this product, in</w:t>
      </w:r>
      <w:r>
        <w:t xml:space="preserve"> </w:t>
      </w:r>
      <w:r>
        <w:t xml:space="preserve">this deployment context?</w:t>
      </w:r>
    </w:p>
    <w:p>
      <w:pPr>
        <w:pStyle w:val="FirstParagraph"/>
      </w:pPr>
      <w:r>
        <w:t xml:space="preserve">This document establishes the technical architecture, pipeline, and governance</w:t>
      </w:r>
      <w:r>
        <w:t xml:space="preserve"> </w:t>
      </w:r>
      <w:r>
        <w:t xml:space="preserve">process for all three. It closes eight NIST SP 800-53 Rev 5 SR family controls</w:t>
      </w:r>
      <w:r>
        <w:t xml:space="preserve"> </w:t>
      </w:r>
      <w:r>
        <w:t xml:space="preserve">and provides the VER evidence contract required to upgrade KSI-CMT rules</w:t>
      </w:r>
      <w:r>
        <w:t xml:space="preserve"> </w:t>
      </w:r>
      <w:r>
        <w:t xml:space="preserve">KSI-011 through KSI-014 from scaffold to evaluable status.</w:t>
      </w:r>
    </w:p>
    <w:p>
      <w:r>
        <w:pict>
          <v:rect style="width:0;height:1.5pt" o:hralign="center" o:hrstd="t" o:hr="t"/>
        </w:pict>
      </w:r>
    </w:p>
    <w:bookmarkEnd w:id="9"/>
    <w:bookmarkStart w:id="10" w:name="the-bod-26-04-compliance-requirement"/>
    <w:p>
      <w:pPr>
        <w:pStyle w:val="Heading1"/>
      </w:pPr>
      <w:r>
        <w:t xml:space="preserve">1. The BOD 26-04 Compliance Requirement</w:t>
      </w:r>
    </w:p>
    <w:p>
      <w:pPr>
        <w:pStyle w:val="FirstParagraph"/>
      </w:pPr>
      <w:r>
        <w:t xml:space="preserve">CISA Binding Operational Directive 26-04 activates the SBOM/VDR/VER requirement</w:t>
      </w:r>
      <w:r>
        <w:t xml:space="preserve"> </w:t>
      </w:r>
      <w:r>
        <w:t xml:space="preserve">for all federal civilian executive branch (FCEB) agencies effective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 The directive defines three tiers:</w:t>
      </w:r>
    </w:p>
    <w:p>
      <w:pPr>
        <w:pStyle w:val="TableCaption"/>
      </w:pPr>
      <w:r>
        <w:t xml:space="preserve">BOD 26-04 Compliance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OD 26-04 Compliance Tiers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SBOM present for all production systems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VDR present — vulnerability disclosure for all SBOM components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VEX present — exploitability assertions for all CVEs in VDR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</w:tbl>
    <w:p>
      <w:pPr>
        <w:pStyle w:val="BodyText"/>
      </w:pPr>
      <w:r>
        <w:t xml:space="preserve">Under FedRAMP 20x Consolidated Rules, the same data serves as the machine-readable</w:t>
      </w:r>
      <w:r>
        <w:t xml:space="preserve"> </w:t>
      </w:r>
      <w:r>
        <w:t xml:space="preserve">evidence package for KSI-SCR (Supply Chain Risk), KSI-CMT-VTD (Validation</w:t>
      </w:r>
      <w:r>
        <w:t xml:space="preserve"> </w:t>
      </w:r>
      <w:r>
        <w:t xml:space="preserve">Throughout Deployment), and the SR control family assessment.</w:t>
      </w:r>
    </w:p>
    <w:p>
      <w:r>
        <w:pict>
          <v:rect style="width:0;height:1.5pt" o:hralign="center" o:hrstd="t" o:hr="t"/>
        </w:pict>
      </w:r>
    </w:p>
    <w:bookmarkEnd w:id="10"/>
    <w:bookmarkStart w:id="18" w:name="architecture-the-sbomvdrvex-pipeline"/>
    <w:p>
      <w:pPr>
        <w:pStyle w:val="Heading1"/>
      </w:pPr>
      <w:r>
        <w:t xml:space="preserve">2. Architecture: The SBOM/VDR/VEX Pipeline</w:t>
      </w:r>
    </w:p>
    <w:bookmarkStart w:id="14" w:name="pipeline-overview"/>
    <w:p>
      <w:pPr>
        <w:pStyle w:val="Heading2"/>
      </w:pPr>
      <w:r>
        <w:t xml:space="preserve">2.1 Pipeline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Source Code + Dependencies                                          │</w:t>
      </w:r>
      <w:r>
        <w:br/>
      </w:r>
      <w:r>
        <w:rPr>
          <w:rStyle w:val="VerbatimChar"/>
        </w:rPr>
        <w:t xml:space="preserve">│  (GitHub repos, container images, IaC artifacts)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SBOM Generation (GitHub Actions CI)                                 │</w:t>
      </w:r>
      <w:r>
        <w:br/>
      </w:r>
      <w:r>
        <w:rPr>
          <w:rStyle w:val="VerbatimChar"/>
        </w:rPr>
        <w:t xml:space="preserve">│  Tool: Syft (Anchore) — outputs CycloneDX 1.6 XML                  │</w:t>
      </w:r>
      <w:r>
        <w:br/>
      </w:r>
      <w:r>
        <w:rPr>
          <w:rStyle w:val="VerbatimChar"/>
        </w:rPr>
        <w:t xml:space="preserve">│  Triggered: every push to main, every release tag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Vulnerability Scan (VDR Generation)                                 │</w:t>
      </w:r>
      <w:r>
        <w:br/>
      </w:r>
      <w:r>
        <w:rPr>
          <w:rStyle w:val="VerbatimChar"/>
        </w:rPr>
        <w:t xml:space="preserve">│  Tool: Grype (Anchore) or Trivy — matches SBOM components to NVD   │</w:t>
      </w:r>
      <w:r>
        <w:br/>
      </w:r>
      <w:r>
        <w:rPr>
          <w:rStyle w:val="VerbatimChar"/>
        </w:rPr>
        <w:t xml:space="preserve">│  Input: CycloneDX SBOM  Output: CycloneDX VDR (CVE list + scores)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VEX Authoring (Exploitability Assertion)                            │</w:t>
      </w:r>
      <w:r>
        <w:br/>
      </w:r>
      <w:r>
        <w:rPr>
          <w:rStyle w:val="VerbatimChar"/>
        </w:rPr>
        <w:t xml:space="preserve">│  Tool: OpenVEX CLI or CycloneDX VEX tooling                        │</w:t>
      </w:r>
      <w:r>
        <w:br/>
      </w:r>
      <w:r>
        <w:rPr>
          <w:rStyle w:val="VerbatimChar"/>
        </w:rPr>
        <w:t xml:space="preserve">│  Output: VEX document asserting not_affected / affected / fixed     │</w:t>
      </w:r>
      <w:r>
        <w:br/>
      </w:r>
      <w:r>
        <w:rPr>
          <w:rStyle w:val="VerbatimChar"/>
        </w:rPr>
        <w:t xml:space="preserve">│  per CVE per product component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Artifact Storage (GitHub Releases + Azure Blob immutable tier)     │</w:t>
      </w:r>
      <w:r>
        <w:br/>
      </w:r>
      <w:r>
        <w:rPr>
          <w:rStyle w:val="VerbatimChar"/>
        </w:rPr>
        <w:t xml:space="preserve">│  Retention: 7 years (NARA standard)                                  │</w:t>
      </w:r>
      <w:r>
        <w:br/>
      </w:r>
      <w:r>
        <w:rPr>
          <w:rStyle w:val="VerbatimChar"/>
        </w:rPr>
        <w:t xml:space="preserve">│  Access: Signed URLs for CISA VEX Portal submission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CISA VEX Portal Submission + Sentinel KSI Dashboard Ingestion      │</w:t>
      </w:r>
      <w:r>
        <w:br/>
      </w:r>
      <w:r>
        <w:rPr>
          <w:rStyle w:val="VerbatimChar"/>
        </w:rPr>
        <w:t xml:space="preserve">│  Feedback loop: new CVEs trigger Defender VM alert (Part 11 chain)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SBOM / VDR / VEX Pipeline — BOD 26-04 Compliance Stages" title="" id="12" name="Picture"/>
            <a:graphic>
              <a:graphicData uri="http://schemas.openxmlformats.org/drawingml/2006/picture">
                <pic:pic>
                  <pic:nvPicPr>
                    <pic:cNvPr descr="figs/scrm-fig-01-sbom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SBOM / VDR / VEX Pipeline — BOD 26-04 Compliance Stages</w:t>
      </w:r>
    </w:p>
    <w:bookmarkEnd w:id="14"/>
    <w:bookmarkStart w:id="17" w:name="sbom-generation-with-syft"/>
    <w:p>
      <w:pPr>
        <w:pStyle w:val="Heading2"/>
      </w:pPr>
      <w:r>
        <w:t xml:space="preserve">2.2 SBOM Generation with Syft</w:t>
      </w:r>
    </w:p>
    <w:p>
      <w:pPr>
        <w:pStyle w:val="FirstParagraph"/>
      </w:pPr>
      <w:r>
        <w:t xml:space="preserve">Syft (Anchore) is the CISA-recommended SBOM generator for federal systems. It</w:t>
      </w:r>
      <w:r>
        <w:t xml:space="preserve"> </w:t>
      </w:r>
      <w:r>
        <w:t xml:space="preserve">produces CycloneDX 1.6 XML natively, the format required by the CISA VEX Portal.</w:t>
      </w:r>
    </w:p>
    <w:bookmarkStart w:id="15" w:name="github-actions-integration"/>
    <w:p>
      <w:pPr>
        <w:pStyle w:val="Heading3"/>
      </w:pPr>
      <w:r>
        <w:t xml:space="preserve">2.2.1 GitHub Actions Integration</w:t>
      </w:r>
    </w:p>
    <w:p>
      <w:pPr>
        <w:pStyle w:val="SourceCode"/>
      </w:pPr>
      <w:r>
        <w:rPr>
          <w:rStyle w:val="CommentTok"/>
        </w:rPr>
        <w:t xml:space="preserve"># .github/workflows/sbom.yml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 + VDR Generation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published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 (CycloneDX 1.6)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SBOM for Vulnerabilities (VDR)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anchore/scan-action@v3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SBOM + VDR as release assets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'release'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sbom-${{ github.sha }}.xml</w:t>
      </w:r>
      <w:r>
        <w:br/>
      </w:r>
      <w:r>
        <w:rPr>
          <w:rStyle w:val="NormalTok"/>
        </w:rPr>
        <w:t xml:space="preserve">            ${{ steps.scan.outputs.sarif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 to Azure Blob immutable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secrets.SBOM_STORAGE_ACCOUNT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AZURE_STORAGE_SAS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secrets.SBOM_STORAGE_SAS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az storage blob upload \</w:t>
      </w:r>
      <w:r>
        <w:br/>
      </w:r>
      <w:r>
        <w:rPr>
          <w:rStyle w:val="NormalTok"/>
        </w:rPr>
        <w:t xml:space="preserve">            --account-name "$AZURE_STORAGE_ACCOUNT" \</w:t>
      </w:r>
      <w:r>
        <w:br/>
      </w:r>
      <w:r>
        <w:rPr>
          <w:rStyle w:val="NormalTok"/>
        </w:rPr>
        <w:t xml:space="preserve">            --sas-token "$AZURE_STORAGE_SAS" \</w:t>
      </w:r>
      <w:r>
        <w:br/>
      </w:r>
      <w:r>
        <w:rPr>
          <w:rStyle w:val="NormalTok"/>
        </w:rPr>
        <w:t xml:space="preserve">            --container-name sbom-archive \</w:t>
      </w:r>
      <w:r>
        <w:br/>
      </w:r>
      <w:r>
        <w:rPr>
          <w:rStyle w:val="NormalTok"/>
        </w:rPr>
        <w:t xml:space="preserve">            --name "$(date +%Y/%m/%d)/sbom-${{ github.sha }}.xml" \</w:t>
      </w:r>
      <w:r>
        <w:br/>
      </w:r>
      <w:r>
        <w:rPr>
          <w:rStyle w:val="NormalTok"/>
        </w:rPr>
        <w:t xml:space="preserve">            --file sbom-${{ github.sha }}.xml \</w:t>
      </w:r>
      <w:r>
        <w:br/>
      </w:r>
      <w:r>
        <w:rPr>
          <w:rStyle w:val="NormalTok"/>
        </w:rPr>
        <w:t xml:space="preserve">            --tier Archive</w:t>
      </w:r>
    </w:p>
    <w:bookmarkEnd w:id="15"/>
    <w:bookmarkStart w:id="16" w:name="X820fbecca140609b3209e51d8cedf105f62dca9"/>
    <w:p>
      <w:pPr>
        <w:pStyle w:val="Heading3"/>
      </w:pPr>
      <w:r>
        <w:t xml:space="preserve">2.2.2 SBOM Content Requirements (NTIA Minimum Elements)</w:t>
      </w:r>
    </w:p>
    <w:p>
      <w:pPr>
        <w:pStyle w:val="FirstParagraph"/>
      </w:pPr>
      <w:r>
        <w:t xml:space="preserve">The National Telecommunications and Information Administration (NTIA) defines</w:t>
      </w:r>
      <w:r>
        <w:t xml:space="preserve"> </w:t>
      </w:r>
      <w:r>
        <w:t xml:space="preserve">minimum SBOM elements. Syft satisfies all of them automatically:</w:t>
      </w:r>
    </w:p>
    <w:p>
      <w:pPr>
        <w:pStyle w:val="TableCaption"/>
      </w:pPr>
      <w:r>
        <w:t xml:space="preserve">NTIA Minimum SBOM Elements — Syft CycloneDX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TIA Minimum SBOM Elements — Syft CycloneDX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NTIA Element</w:t>
            </w:r>
          </w:p>
        </w:tc>
        <w:tc>
          <w:tcPr/>
          <w:p>
            <w:pPr>
              <w:pStyle w:val="Compact"/>
            </w:pPr>
            <w:r>
              <w:t xml:space="preserve">CycloneDX Field</w:t>
            </w:r>
          </w:p>
        </w:tc>
        <w:tc>
          <w:tcPr/>
          <w:p>
            <w:pPr>
              <w:pStyle w:val="Compact"/>
            </w:pPr>
            <w:r>
              <w:t xml:space="preserve">Syft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supplier.name</w:t>
            </w:r>
          </w:p>
        </w:tc>
        <w:tc>
          <w:tcPr/>
          <w:p>
            <w:pPr>
              <w:pStyle w:val="Compact"/>
            </w:pPr>
            <w:r>
              <w:t xml:space="preserve">Extracted from package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component.name</w:t>
            </w:r>
          </w:p>
        </w:tc>
        <w:tc>
          <w:tcPr/>
          <w:p>
            <w:pPr>
              <w:pStyle w:val="Compact"/>
            </w:pPr>
            <w:r>
              <w:t xml:space="preserve">Package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component.version</w:t>
            </w:r>
          </w:p>
        </w:tc>
        <w:tc>
          <w:tcPr/>
          <w:p>
            <w:pPr>
              <w:pStyle w:val="Compact"/>
            </w:pPr>
            <w:r>
              <w:t xml:space="preserve">Exact version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unique identifiers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component.purl</w:t>
            </w:r>
          </w:p>
        </w:tc>
        <w:tc>
          <w:tcPr/>
          <w:p>
            <w:pPr>
              <w:pStyle w:val="Compact"/>
            </w:pPr>
            <w:r>
              <w:t xml:space="preserve">Package URL (PURL) — unique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Full dependency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author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metadata.author</w:t>
            </w:r>
          </w:p>
        </w:tc>
        <w:tc>
          <w:tcPr/>
          <w:p>
            <w:pPr>
              <w:pStyle w:val="Compact"/>
            </w:pPr>
            <w:r>
              <w:t xml:space="preserve">Set from CI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metadata.timestamp</w:t>
            </w:r>
          </w:p>
        </w:tc>
        <w:tc>
          <w:tcPr/>
          <w:p>
            <w:pPr>
              <w:pStyle w:val="Compact"/>
            </w:pPr>
            <w:r>
              <w:t xml:space="preserve">UTC build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1" w:name="vulnerability-disclosure-report-vdr"/>
    <w:p>
      <w:pPr>
        <w:pStyle w:val="Heading1"/>
      </w:pPr>
      <w:r>
        <w:t xml:space="preserve">3. Vulnerability Disclosure Report (VDR)</w:t>
      </w:r>
    </w:p>
    <w:p>
      <w:pPr>
        <w:pStyle w:val="FirstParagraph"/>
      </w:pPr>
      <w:r>
        <w:t xml:space="preserve">The VDR is a machine-readable enumeration of all CVEs affecting components in</w:t>
      </w:r>
      <w:r>
        <w:t xml:space="preserve"> </w:t>
      </w:r>
      <w:r>
        <w:t xml:space="preserve">the SBOM. Grype (Anchore) takes the CycloneDX SBOM as input and produces a</w:t>
      </w:r>
      <w:r>
        <w:t xml:space="preserve"> </w:t>
      </w:r>
      <w:r>
        <w:t xml:space="preserve">CycloneDX VDR with NVD-sourced CVE data.</w:t>
      </w:r>
    </w:p>
    <w:bookmarkStart w:id="19" w:name="vdr-fields"/>
    <w:p>
      <w:pPr>
        <w:pStyle w:val="Heading2"/>
      </w:pPr>
      <w:r>
        <w:t xml:space="preserve">3.1 VDR Fields</w:t>
      </w:r>
    </w:p>
    <w:p>
      <w:pPr>
        <w:pStyle w:val="SourceCode"/>
      </w:pPr>
      <w:r>
        <w:rPr>
          <w:rStyle w:val="CommentTok"/>
        </w:rPr>
        <w:t xml:space="preserve">&lt;!-- Example CycloneDX 1.6 VDR entry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&gt;CVE-2024-12345&lt;/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&gt;NVD&lt;/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&gt;https://nvd.nist.gov/vuln/detail/CVE-2024-12345&lt;/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&gt;9.8&lt;/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&gt;CVSS:3.1/AV:N/AC:L/PR:N/UI:N/S:U/C:H/I:H/A:H&lt;/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&gt;critical&lt;/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&gt;CVSSv31&lt;/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&gt;urn:cdx:package-purl/pkg:pypi/requests@2.28.0&lt;/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&gt;exploitable&lt;/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&gt;Network-accessible API endpoint uses this version&lt;/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&gt;patch_available&lt;/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</w:p>
    <w:bookmarkEnd w:id="19"/>
    <w:bookmarkStart w:id="20" w:name="cisa-kev-integration"/>
    <w:p>
      <w:pPr>
        <w:pStyle w:val="Heading2"/>
      </w:pPr>
      <w:r>
        <w:t xml:space="preserve">3.2 CISA KEV Integration</w:t>
      </w:r>
    </w:p>
    <w:p>
      <w:pPr>
        <w:pStyle w:val="FirstParagraph"/>
      </w:pPr>
      <w:r>
        <w:t xml:space="preserve">The VDR pipeline integrates with the CISA Known Exploited Vulnerabilities (KEV)</w:t>
      </w:r>
      <w:r>
        <w:t xml:space="preserve"> </w:t>
      </w:r>
      <w:r>
        <w:t xml:space="preserve">catalog. Any CVE in the SBOM that appears in the KEV catalog is automatically</w:t>
      </w:r>
      <w:r>
        <w:t xml:space="preserve"> </w:t>
      </w:r>
      <w:r>
        <w:t xml:space="preserve">escalated to P0 — 14-day remediation SLA per BOD 22-01.</w:t>
      </w:r>
    </w:p>
    <w:p>
      <w:pPr>
        <w:pStyle w:val="SourceCode"/>
      </w:pPr>
      <w:r>
        <w:rPr>
          <w:rStyle w:val="CommentTok"/>
        </w:rPr>
        <w:t xml:space="preserve"># scripts/kev_triage.py — CI step after VDR generation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requests</w:t>
      </w:r>
      <w:r>
        <w:br/>
      </w:r>
      <w:r>
        <w:br/>
      </w:r>
      <w:r>
        <w:rPr>
          <w:rStyle w:val="NormalTok"/>
        </w:rPr>
        <w:t xml:space="preserve">KEV_URL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"https://www.cisa.gov/sites/default/files/feeds/known_exploited_vulnerabilities.json"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triage_against_kev(vdr_path: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kev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{e[</w:t>
      </w:r>
      <w:r>
        <w:rPr>
          <w:rStyle w:val="StringTok"/>
        </w:rPr>
        <w:t xml:space="preserve">"cveID"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requests.get(KEV_URL).json()[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vdr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(vdr_path).read())</w:t>
      </w:r>
      <w:r>
        <w:br/>
      </w:r>
      <w:r>
        <w:rPr>
          <w:rStyle w:val="NormalTok"/>
        </w:rPr>
        <w:t xml:space="preserve">    escalations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vuln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vdr.get(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cve_id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vuln.get(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kev:</w:t>
      </w:r>
      <w:r>
        <w:br/>
      </w:r>
      <w:r>
        <w:rPr>
          <w:rStyle w:val="NormalTok"/>
        </w:rPr>
        <w:t xml:space="preserve">            escalations.append({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"cve"</w:t>
      </w:r>
      <w:r>
        <w:rPr>
          <w:rStyle w:val="NormalTok"/>
        </w:rPr>
        <w:t xml:space="preserve">: cve_id,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vuln.get(</w:t>
      </w:r>
      <w:r>
        <w:rPr>
          <w:rStyle w:val="StringTok"/>
        </w:rPr>
        <w:t xml:space="preserve">"ratings"</w:t>
      </w:r>
      <w:r>
        <w:rPr>
          <w:rStyle w:val="NormalTok"/>
        </w:rPr>
        <w:t xml:space="preserve">, [{}])[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"kev_escalated"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"sla_days"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escalations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1f0fa402021e89c3afcfce49364de01d7389407"/>
    <w:p>
      <w:pPr>
        <w:pStyle w:val="Heading1"/>
      </w:pPr>
      <w:r>
        <w:t xml:space="preserve">4. Vulnerability Exploitability eXchange (VEX)</w:t>
      </w:r>
    </w:p>
    <w:p>
      <w:pPr>
        <w:pStyle w:val="FirstParagraph"/>
      </w:pPr>
      <w:r>
        <w:t xml:space="preserve">VEX is the assertion layer — for every CVE in the VDR, the agency asserts</w:t>
      </w:r>
      <w:r>
        <w:t xml:space="preserve"> </w:t>
      </w:r>
      <w:r>
        <w:t xml:space="preserve">whether it is exploitable in the specific deployment context.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VEX Exploitability Assessment — Decision Flow for Each CVE in VDR" title="" id="23" name="Picture"/>
            <a:graphic>
              <a:graphicData uri="http://schemas.openxmlformats.org/drawingml/2006/picture">
                <pic:pic>
                  <pic:nvPicPr>
                    <pic:cNvPr descr="figs/scrm-fig-02-vex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VEX Exploitability Assessment — Decision Flow for Each CVE in VDR</w:t>
      </w:r>
    </w:p>
    <w:bookmarkStart w:id="25" w:name="vex-status-values"/>
    <w:p>
      <w:pPr>
        <w:pStyle w:val="Heading2"/>
      </w:pPr>
      <w:r>
        <w:t xml:space="preserve">4.1 VEX Status Values</w:t>
      </w:r>
    </w:p>
    <w:p>
      <w:pPr>
        <w:pStyle w:val="TableCaption"/>
      </w:pPr>
      <w:r>
        <w:t xml:space="preserve">VEX Status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X Status Values"/>
      </w:tblPr>
      <w:tblGrid>
        <w:gridCol w:w="2436"/>
        <w:gridCol w:w="2741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not_affected</w:t>
            </w:r>
          </w:p>
        </w:tc>
        <w:tc>
          <w:tcPr/>
          <w:p>
            <w:pPr>
              <w:pStyle w:val="Compact"/>
            </w:pPr>
            <w:r>
              <w:t xml:space="preserve">Vulnerability exists in component but cannot be exploited</w:t>
            </w:r>
          </w:p>
        </w:tc>
        <w:tc>
          <w:tcPr/>
          <w:p>
            <w:pPr>
              <w:pStyle w:val="Compact"/>
            </w:pPr>
            <w:r>
              <w:t xml:space="preserve">Library function not called; OS feature not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Vulnerability is exploitable — remediation underway</w:t>
            </w:r>
          </w:p>
        </w:tc>
        <w:tc>
          <w:tcPr/>
          <w:p>
            <w:pPr>
              <w:pStyle w:val="Compact"/>
            </w:pPr>
            <w:r>
              <w:t xml:space="preserve">Production system uses the affected code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Component has been patched to a non-vulnerable version</w:t>
            </w:r>
          </w:p>
        </w:tc>
        <w:tc>
          <w:tcPr/>
          <w:p>
            <w:pPr>
              <w:pStyle w:val="Compact"/>
            </w:pPr>
            <w:r>
              <w:t xml:space="preserve">CVE remediated in current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under_investigation</w:t>
            </w:r>
          </w:p>
        </w:tc>
        <w:tc>
          <w:tcPr/>
          <w:p>
            <w:pPr>
              <w:pStyle w:val="Compact"/>
            </w:pPr>
            <w:r>
              <w:t xml:space="preserve">Exploitability being analyzed</w:t>
            </w:r>
          </w:p>
        </w:tc>
        <w:tc>
          <w:tcPr/>
          <w:p>
            <w:pPr>
              <w:pStyle w:val="Compact"/>
            </w:pPr>
            <w:r>
              <w:t xml:space="preserve">New CVE, analysis in progress (max 7-day window)</w:t>
            </w:r>
          </w:p>
        </w:tc>
      </w:tr>
    </w:tbl>
    <w:bookmarkEnd w:id="25"/>
    <w:bookmarkStart w:id="26" w:name="vex-document-structure-openvex"/>
    <w:p>
      <w:pPr>
        <w:pStyle w:val="Heading2"/>
      </w:pPr>
      <w:r>
        <w:t xml:space="preserve">4.2 VEX Document Structure (OpenVEX)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"https://openvex.dev/ns/v0.2.0"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"https://sbom.ssa.gov/vex/2026-Q3/vex-20260703.json"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"vulnerability"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"https://nvd.nist.gov/vuln/detail/CVE-2024-12345"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"CVE-2024-12345"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"pkg:pypi/requests@2.28.0"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"not_affected"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"protected_by_mitigating_control"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API gateway enforces input validation upstream of the affected code path. The vulnerable deserialization function is never called in production configuration."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action required. Controlled via API gateway policy."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"action_statement_timestamp"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vex-authoring-process"/>
    <w:p>
      <w:pPr>
        <w:pStyle w:val="Heading2"/>
      </w:pPr>
      <w:r>
        <w:t xml:space="preserve">4.3 VEX Authoring Process</w:t>
      </w:r>
    </w:p>
    <w:p>
      <w:pPr>
        <w:pStyle w:val="FirstParagraph"/>
      </w:pPr>
      <w:r>
        <w:t xml:space="preserve">VEX assertions require human judgment — automated tools can identify whether</w:t>
      </w:r>
      <w:r>
        <w:t xml:space="preserve"> </w:t>
      </w:r>
      <w:r>
        <w:t xml:space="preserve">a code path is reachable but cannot assert deployment-context exploitability.</w:t>
      </w:r>
      <w:r>
        <w:t xml:space="preserve"> </w:t>
      </w:r>
      <w:r>
        <w:t xml:space="preserve">The authoring process: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</w:t>
      </w:r>
      <w:r>
        <w:t xml:space="preserve">: Grype + SBOM produce the VDR (all CVEs)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Triage</w:t>
      </w:r>
      <w:r>
        <w:t xml:space="preserve">: KEV check escalates P0 CVEs for immediate human review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Analysis</w:t>
      </w:r>
      <w:r>
        <w:t xml:space="preserve">: Security team reviews each CVE for deployment-context exploitability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Assertion</w:t>
      </w:r>
      <w:r>
        <w:t xml:space="preserve">: Security team authors VEX assertion with justification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+ Submit</w:t>
      </w:r>
      <w:r>
        <w:t xml:space="preserve">: VEX signed with GPG key; submitted to CISA VEX Portal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</w:t>
      </w:r>
      <w:r>
        <w:t xml:space="preserve">: Signed VEX stored in Azure Blob immutable tier; hash published to SBOM manifest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vendor-disclosure-matrix"/>
    <w:p>
      <w:pPr>
        <w:pStyle w:val="Heading1"/>
      </w:pPr>
      <w:r>
        <w:t xml:space="preserve">5. Vendor Disclosure Matrix</w:t>
      </w:r>
    </w:p>
    <w:p>
      <w:pPr>
        <w:pStyle w:val="FirstParagraph"/>
      </w:pPr>
      <w:r>
        <w:t xml:space="preserve">SR-6 requires documented supplier assessments. The vendor disclosure matrix</w:t>
      </w:r>
      <w:r>
        <w:t xml:space="preserve"> </w:t>
      </w:r>
      <w:r>
        <w:t xml:space="preserve">maps each third-party component supplier to their security disclosure program</w:t>
      </w:r>
      <w:r>
        <w:t xml:space="preserve"> </w:t>
      </w:r>
      <w:r>
        <w:t xml:space="preserve">and FedRAMP authorization status.</w:t>
      </w:r>
    </w:p>
    <w:p>
      <w:pPr>
        <w:pStyle w:val="TableCaption"/>
      </w:pPr>
      <w:r>
        <w:t xml:space="preserve">Vendor Disclosure Matrix — SR-6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Disclosure Matrix — SR-6 Evidenc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Products in SBOM</w:t>
            </w:r>
          </w:p>
        </w:tc>
        <w:tc>
          <w:tcPr/>
          <w:p>
            <w:pPr>
              <w:pStyle w:val="Compact"/>
            </w:pPr>
            <w:r>
              <w:t xml:space="preserve">FedRAMP Authorization</w:t>
            </w:r>
          </w:p>
        </w:tc>
        <w:tc>
          <w:tcPr/>
          <w:p>
            <w:pPr>
              <w:pStyle w:val="Compact"/>
            </w:pPr>
            <w:r>
              <w:t xml:space="preserve">SBOM Program</w:t>
            </w:r>
          </w:p>
        </w:tc>
        <w:tc>
          <w:tcPr/>
          <w:p>
            <w:pPr>
              <w:pStyle w:val="Compact"/>
            </w:pPr>
            <w:r>
              <w:t xml:space="preserve">VEX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</w:t>
            </w:r>
          </w:p>
        </w:tc>
        <w:tc>
          <w:tcPr/>
          <w:p>
            <w:pPr>
              <w:pStyle w:val="Compact"/>
            </w:pPr>
            <w:r>
              <w:t xml:space="preserve">Syft, Grype</w:t>
            </w:r>
          </w:p>
        </w:tc>
        <w:tc>
          <w:tcPr/>
          <w:p>
            <w:pPr>
              <w:pStyle w:val="Compact"/>
            </w:pPr>
            <w:r>
              <w:t xml:space="preserve">N/A (tooling)</w:t>
            </w:r>
          </w:p>
        </w:tc>
        <w:tc>
          <w:tcPr/>
          <w:p>
            <w:pPr>
              <w:pStyle w:val="Compact"/>
            </w:pPr>
            <w:r>
              <w:t xml:space="preserve">Native CycloneDX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Defender VM, Sentinel, Purview, Key Vault</w:t>
            </w:r>
          </w:p>
        </w:tc>
        <w:tc>
          <w:tcPr/>
          <w:p>
            <w:pPr>
              <w:pStyle w:val="Compact"/>
            </w:pPr>
            <w:r>
              <w:t xml:space="preserve">Yes — GCC High</w:t>
            </w:r>
          </w:p>
        </w:tc>
        <w:tc>
          <w:tcPr/>
          <w:p>
            <w:pPr>
              <w:pStyle w:val="Compact"/>
            </w:pPr>
            <w:r>
              <w:t xml:space="preserve">MSRC Security Update Guide</w:t>
            </w:r>
          </w:p>
        </w:tc>
        <w:tc>
          <w:tcPr/>
          <w:p>
            <w:pPr>
              <w:pStyle w:val="Compact"/>
            </w:pPr>
            <w:r>
              <w:t xml:space="preserve">Yes (MSRC 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SD-WAN (IOS XE, vManage)</w:t>
            </w:r>
          </w:p>
        </w:tc>
        <w:tc>
          <w:tcPr/>
          <w:p>
            <w:pPr>
              <w:pStyle w:val="Compact"/>
            </w:pPr>
            <w:r>
              <w:t xml:space="preserve">Yes — GCC Moderate</w:t>
            </w:r>
          </w:p>
        </w:tc>
        <w:tc>
          <w:tcPr/>
          <w:p>
            <w:pPr>
              <w:pStyle w:val="Compact"/>
            </w:pPr>
            <w:r>
              <w:t xml:space="preserve">Cisco PSIRT</w:t>
            </w:r>
          </w:p>
        </w:tc>
        <w:tc>
          <w:tcPr/>
          <w:p>
            <w:pPr>
              <w:pStyle w:val="Compact"/>
            </w:pPr>
            <w:r>
              <w:t xml:space="preserve">Yes (OpenVEX)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</w:t>
            </w:r>
          </w:p>
        </w:tc>
        <w:tc>
          <w:tcPr/>
          <w:p>
            <w:pPr>
              <w:pStyle w:val="Compact"/>
            </w:pPr>
            <w:r>
              <w:t xml:space="preserve">NIOS Grid, BloxOne DDI</w:t>
            </w:r>
          </w:p>
        </w:tc>
        <w:tc>
          <w:tcPr/>
          <w:p>
            <w:pPr>
              <w:pStyle w:val="Compact"/>
            </w:pPr>
            <w:r>
              <w:t xml:space="preserve">Yes — FR2017257053</w:t>
            </w:r>
          </w:p>
        </w:tc>
        <w:tc>
          <w:tcPr/>
          <w:p>
            <w:pPr>
              <w:pStyle w:val="Compact"/>
            </w:pPr>
            <w:r>
              <w:t xml:space="preserve">Infoblox Security Portal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Anchore/CISA</w:t>
            </w:r>
          </w:p>
        </w:tc>
        <w:tc>
          <w:tcPr/>
          <w:p>
            <w:pPr>
              <w:pStyle w:val="Compact"/>
            </w:pPr>
            <w:r>
              <w:t xml:space="preserve">NVD data feed</w:t>
            </w:r>
          </w:p>
        </w:tc>
        <w:tc>
          <w:tcPr/>
          <w:p>
            <w:pPr>
              <w:pStyle w:val="Compact"/>
            </w:pPr>
            <w:r>
              <w:t xml:space="preserve">N/A (data source)</w:t>
            </w:r>
          </w:p>
        </w:tc>
        <w:tc>
          <w:tcPr/>
          <w:p>
            <w:pPr>
              <w:pStyle w:val="Compact"/>
            </w:pPr>
            <w:r>
              <w:t xml:space="preserve">NVD JSON feed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nist-sp-800-53-rev-5-control-closure"/>
    <w:p>
      <w:pPr>
        <w:pStyle w:val="Heading1"/>
      </w:pPr>
      <w:r>
        <w:t xml:space="preserve">6. NIST SP 800-53 Rev 5 Control Closure</w:t>
      </w:r>
    </w:p>
    <w:bookmarkStart w:id="30" w:name="sr-family-controls"/>
    <w:p>
      <w:pPr>
        <w:pStyle w:val="Heading2"/>
      </w:pPr>
      <w:r>
        <w:t xml:space="preserve">6.1 SR Family Controls</w:t>
      </w:r>
    </w:p>
    <w:p>
      <w:pPr>
        <w:pStyle w:val="TableCaption"/>
      </w:pPr>
      <w:r>
        <w:t xml:space="preserve">Part 15 — NIST SP 800-53 Rev 5 Control Closure: SR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NIST SP 800-53 Rev 5 Control Closure: SR Family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Control Title</w:t>
            </w:r>
          </w:p>
        </w:tc>
        <w:tc>
          <w:tcPr/>
          <w:p>
            <w:pPr>
              <w:pStyle w:val="Compact"/>
            </w:pPr>
            <w:r>
              <w:t xml:space="preserve">Gap Under Current State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Policy and Procedures</w:t>
            </w:r>
          </w:p>
        </w:tc>
        <w:tc>
          <w:tcPr/>
          <w:p>
            <w:pPr>
              <w:pStyle w:val="Compact"/>
            </w:pPr>
            <w:r>
              <w:t xml:space="preserve">No documented SCRM policy; procurement decisions lack security evaluation criteria</w:t>
            </w:r>
          </w:p>
        </w:tc>
        <w:tc>
          <w:tcPr/>
          <w:p>
            <w:pPr>
              <w:pStyle w:val="Compact"/>
            </w:pPr>
            <w:r>
              <w:t xml:space="preserve">SCRM Policy document + SBOM pipeline governance charter</w:t>
            </w:r>
          </w:p>
        </w:tc>
        <w:tc>
          <w:tcPr/>
          <w:p>
            <w:pPr>
              <w:pStyle w:val="Compact"/>
            </w:pPr>
            <w:r>
              <w:t xml:space="preserve">Pipeline run log; policy document in SSP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SR-2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Plan</w:t>
            </w:r>
          </w:p>
        </w:tc>
        <w:tc>
          <w:tcPr/>
          <w:p>
            <w:pPr>
              <w:pStyle w:val="Compact"/>
            </w:pPr>
            <w:r>
              <w:t xml:space="preserve">No SCRM plan; supplier risk not assessed systematically</w:t>
            </w:r>
          </w:p>
        </w:tc>
        <w:tc>
          <w:tcPr/>
          <w:p>
            <w:pPr>
              <w:pStyle w:val="Compact"/>
            </w:pPr>
            <w:r>
              <w:t xml:space="preserve">SBOM pipeline + vendor disclosure matrix + KEV integration</w:t>
            </w:r>
          </w:p>
        </w:tc>
        <w:tc>
          <w:tcPr/>
          <w:p>
            <w:pPr>
              <w:pStyle w:val="Compact"/>
            </w:pPr>
            <w:r>
              <w:t xml:space="preserve">SBOM manifest; vendor matrix; KEV triage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SR-3</w:t>
            </w:r>
          </w:p>
        </w:tc>
        <w:tc>
          <w:tcPr/>
          <w:p>
            <w:pPr>
              <w:pStyle w:val="Compact"/>
            </w:pPr>
            <w:r>
              <w:t xml:space="preserve">Supply Chain Controls and Processes</w:t>
            </w:r>
          </w:p>
        </w:tc>
        <w:tc>
          <w:tcPr/>
          <w:p>
            <w:pPr>
              <w:pStyle w:val="Compact"/>
            </w:pPr>
            <w:r>
              <w:t xml:space="preserve">Software acquisition lacks SBOM requirements; no contractual SBOM delivery clause</w:t>
            </w:r>
          </w:p>
        </w:tc>
        <w:tc>
          <w:tcPr/>
          <w:p>
            <w:pPr>
              <w:pStyle w:val="Compact"/>
            </w:pPr>
            <w:r>
              <w:t xml:space="preserve">Acquisition policy update requiring CycloneDX SBOM delivery from suppliers; SBOM ingest pipeline</w:t>
            </w:r>
          </w:p>
        </w:tc>
        <w:tc>
          <w:tcPr/>
          <w:p>
            <w:pPr>
              <w:pStyle w:val="Compact"/>
            </w:pPr>
            <w:r>
              <w:t xml:space="preserve">Acquisition policy; SBOM pipeline job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SR-5</w:t>
            </w:r>
          </w:p>
        </w:tc>
        <w:tc>
          <w:tcPr/>
          <w:p>
            <w:pPr>
              <w:pStyle w:val="Compact"/>
            </w:pPr>
            <w:r>
              <w:t xml:space="preserve">Acquisition Strategies, Tools, and Methods</w:t>
            </w:r>
          </w:p>
        </w:tc>
        <w:tc>
          <w:tcPr/>
          <w:p>
            <w:pPr>
              <w:pStyle w:val="Compact"/>
            </w:pPr>
            <w:r>
              <w:t xml:space="preserve">No software composition analysis in procurement evaluation</w:t>
            </w:r>
          </w:p>
        </w:tc>
        <w:tc>
          <w:tcPr/>
          <w:p>
            <w:pPr>
              <w:pStyle w:val="Compact"/>
            </w:pPr>
            <w:r>
              <w:t xml:space="preserve">SCA tooling (Syft + Grype) integrated into CI/CD before production promotion</w:t>
            </w:r>
          </w:p>
        </w:tc>
        <w:tc>
          <w:tcPr/>
          <w:p>
            <w:pPr>
              <w:pStyle w:val="Compact"/>
            </w:pPr>
            <w:r>
              <w:t xml:space="preserve">Pipeline artifact; pre-approval gate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SR-6</w:t>
            </w:r>
          </w:p>
        </w:tc>
        <w:tc>
          <w:tcPr/>
          <w:p>
            <w:pPr>
              <w:pStyle w:val="Compact"/>
            </w:pPr>
            <w:r>
              <w:t xml:space="preserve">Supplier Assessments and Reviews</w:t>
            </w:r>
          </w:p>
        </w:tc>
        <w:tc>
          <w:tcPr/>
          <w:p>
            <w:pPr>
              <w:pStyle w:val="Compact"/>
            </w:pPr>
            <w:r>
              <w:t xml:space="preserve">No structured supplier security review; FedRAMP authorization status not tracked per supplier</w:t>
            </w:r>
          </w:p>
        </w:tc>
        <w:tc>
          <w:tcPr/>
          <w:p>
            <w:pPr>
              <w:pStyle w:val="Compact"/>
            </w:pPr>
            <w:r>
              <w:t xml:space="preserve">Vendor disclosure matrix; annual supplier assessment schedule; MSRC/PSIRT feed subscriptions</w:t>
            </w:r>
          </w:p>
        </w:tc>
        <w:tc>
          <w:tcPr/>
          <w:p>
            <w:pPr>
              <w:pStyle w:val="Compact"/>
            </w:pPr>
            <w:r>
              <w:t xml:space="preserve">Vendor matrix; assessment calendar; feed subscription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SR-8</w:t>
            </w:r>
          </w:p>
        </w:tc>
        <w:tc>
          <w:tcPr/>
          <w:p>
            <w:pPr>
              <w:pStyle w:val="Compact"/>
            </w:pPr>
            <w:r>
              <w:t xml:space="preserve">Notification Agreements</w:t>
            </w:r>
          </w:p>
        </w:tc>
        <w:tc>
          <w:tcPr/>
          <w:p>
            <w:pPr>
              <w:pStyle w:val="Compact"/>
            </w:pPr>
            <w:r>
              <w:t xml:space="preserve">No documented process for receiving and responding to supplier vulnerability notifications</w:t>
            </w:r>
          </w:p>
        </w:tc>
        <w:tc>
          <w:tcPr/>
          <w:p>
            <w:pPr>
              <w:pStyle w:val="Compact"/>
            </w:pPr>
            <w:r>
              <w:t xml:space="preserve">MSRC Security Update Guide subscription; Cisco PSIRT subscription; Infoblox security portal registration</w:t>
            </w:r>
          </w:p>
        </w:tc>
        <w:tc>
          <w:tcPr/>
          <w:p>
            <w:pPr>
              <w:pStyle w:val="Compact"/>
            </w:pPr>
            <w:r>
              <w:t xml:space="preserve">Notification feed subscriptions; incident response playbook for supplier CVEs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SR-10</w:t>
            </w:r>
          </w:p>
        </w:tc>
        <w:tc>
          <w:tcPr/>
          <w:p>
            <w:pPr>
              <w:pStyle w:val="Compact"/>
            </w:pPr>
            <w:r>
              <w:t xml:space="preserve">Inspection of Systems or Components</w:t>
            </w:r>
          </w:p>
        </w:tc>
        <w:tc>
          <w:tcPr/>
          <w:p>
            <w:pPr>
              <w:pStyle w:val="Compact"/>
            </w:pPr>
            <w:r>
              <w:t xml:space="preserve">No component integrity verification at build or deployment</w:t>
            </w:r>
          </w:p>
        </w:tc>
        <w:tc>
          <w:tcPr/>
          <w:p>
            <w:pPr>
              <w:pStyle w:val="Compact"/>
            </w:pPr>
            <w:r>
              <w:t xml:space="preserve">Syft SBOM hash verification at container pull; GPG-signed SBOM manifest; supply chain attestation in SLSA Level 2</w:t>
            </w:r>
          </w:p>
        </w:tc>
        <w:tc>
          <w:tcPr/>
          <w:p>
            <w:pPr>
              <w:pStyle w:val="Compact"/>
            </w:pPr>
            <w:r>
              <w:t xml:space="preserve">SLSA provenance records; container image hash verification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SR-11</w:t>
            </w:r>
          </w:p>
        </w:tc>
        <w:tc>
          <w:tcPr/>
          <w:p>
            <w:pPr>
              <w:pStyle w:val="Compact"/>
            </w:pPr>
            <w:r>
              <w:t xml:space="preserve">Component Authenticity</w:t>
            </w:r>
          </w:p>
        </w:tc>
        <w:tc>
          <w:tcPr/>
          <w:p>
            <w:pPr>
              <w:pStyle w:val="Compact"/>
            </w:pPr>
            <w:r>
              <w:t xml:space="preserve">No cryptographic verification of component authenticity; no process for detecting counterfeit components</w:t>
            </w:r>
          </w:p>
        </w:tc>
        <w:tc>
          <w:tcPr/>
          <w:p>
            <w:pPr>
              <w:pStyle w:val="Compact"/>
            </w:pPr>
            <w:r>
              <w:t xml:space="preserve">GPG-signed SBOMs; SLSA provenance attestation; sigstore (Cosign) for container image signing</w:t>
            </w:r>
          </w:p>
        </w:tc>
        <w:tc>
          <w:tcPr/>
          <w:p>
            <w:pPr>
              <w:pStyle w:val="Compact"/>
            </w:pPr>
            <w:r>
              <w:t xml:space="preserve">Cosign signature verification log; SLSA provenance; SBOM manifest with component hashes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closed: 8</w:t>
      </w:r>
      <w:r>
        <w:t xml:space="preserve"> </w:t>
      </w:r>
      <w:r>
        <w:t xml:space="preserve">(SR-1, SR-2, SR-3, SR-5, SR-6, SR-8, SR-10, SR-11)</w:t>
      </w:r>
    </w:p>
    <w:p>
      <w:pPr>
        <w:pStyle w:val="BlockText"/>
      </w:pPr>
      <w:r>
        <w:rPr>
          <w:b/>
          <w:bCs/>
        </w:rPr>
        <w:t xml:space="preserve">Closure Necessity — SR family.</w:t>
      </w:r>
      <w:r>
        <w:t xml:space="preserve"> </w:t>
      </w:r>
      <w:r>
        <w:t xml:space="preserve">These eight controls close through</w:t>
      </w:r>
      <w:r>
        <w:t xml:space="preserve"> </w:t>
      </w:r>
      <w:r>
        <w:t xml:space="preserve">governance artifacts — the SBOM manifest, the VDR, signed VEX assertions, and</w:t>
      </w:r>
      <w:r>
        <w:t xml:space="preserve"> </w:t>
      </w:r>
      <w:r>
        <w:t xml:space="preserve">the acquisition language that compels them from suppliers — not through the</w:t>
      </w:r>
      <w:r>
        <w:t xml:space="preserve"> </w:t>
      </w:r>
      <w:r>
        <w:t xml:space="preserve">network substrate. No IPAM record, SD-WAN overlay, or TIC 3.0 enforcement</w:t>
      </w:r>
      <w:r>
        <w:t xml:space="preserve"> </w:t>
      </w:r>
      <w:r>
        <w:t xml:space="preserve">point produces a software bill of materials or a supplier attestation. This</w:t>
      </w:r>
      <w:r>
        <w:t xml:space="preserve"> </w:t>
      </w:r>
      <w:r>
        <w:t xml:space="preserve">series claims a technology as required only where control text, physics, or</w:t>
      </w:r>
      <w:r>
        <w:t xml:space="preserve"> </w:t>
      </w:r>
      <w:r>
        <w:t xml:space="preserve">protocol behavior makes it the sole closure path; stating plainly that supply</w:t>
      </w:r>
      <w:r>
        <w:t xml:space="preserve"> </w:t>
      </w:r>
      <w:r>
        <w:t xml:space="preserve">chain risk management is not such a case is what keeps those necessity claims</w:t>
      </w:r>
      <w:r>
        <w:t xml:space="preserve"> </w:t>
      </w:r>
      <w:r>
        <w:t xml:space="preserve">credible elsewhere.</w:t>
      </w:r>
    </w:p>
    <w:bookmarkEnd w:id="30"/>
    <w:bookmarkStart w:id="31" w:name="ksi-cmt-evidence-contract-ksi-011014"/>
    <w:p>
      <w:pPr>
        <w:pStyle w:val="Heading2"/>
      </w:pPr>
      <w:r>
        <w:t xml:space="preserve">6.2 KSI-CMT Evidence Contract (KSI-011–014)</w:t>
      </w:r>
    </w:p>
    <w:p>
      <w:pPr>
        <w:pStyle w:val="FirstParagraph"/>
      </w:pPr>
      <w:r>
        <w:t xml:space="preserve">The SBOM/VDR/VEX pipeline provides the VER (Vulnerability Exploitability</w:t>
      </w:r>
      <w:r>
        <w:t xml:space="preserve"> </w:t>
      </w:r>
      <w:r>
        <w:t xml:space="preserve">Report) evidence contract required to upgrade KSI-CMT rules from scaffold</w:t>
      </w:r>
      <w:r>
        <w:t xml:space="preserve"> </w:t>
      </w:r>
      <w:r>
        <w:t xml:space="preserve">to evaluable. The pipeline produces machine-readable artifacts that satisfy</w:t>
      </w:r>
      <w:r>
        <w:t xml:space="preserve"> </w:t>
      </w:r>
      <w:r>
        <w:t xml:space="preserve">the KSI-CMT sub-control requirements:</w:t>
      </w:r>
    </w:p>
    <w:p>
      <w:pPr>
        <w:pStyle w:val="TableCaption"/>
      </w:pPr>
      <w:r>
        <w:t xml:space="preserve">KSI-CMT Evidence Contract — Part 15 Provides VER Evidence for KSI-011–014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MT Evidence Contract — Part 15 Provides VER Evidence for KSI-011–014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Rule</w:t>
            </w:r>
          </w:p>
        </w:tc>
        <w:tc>
          <w:tcPr/>
          <w:p>
            <w:pPr>
              <w:pStyle w:val="Compact"/>
            </w:pPr>
            <w:r>
              <w:t xml:space="preserve">KSI Title</w:t>
            </w:r>
          </w:p>
        </w:tc>
        <w:tc>
          <w:tcPr/>
          <w:p>
            <w:pPr>
              <w:pStyle w:val="Compac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</w:pPr>
            <w:r>
              <w:t xml:space="preserve">Evidence from Part 15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Change Logging and Monitoring</w:t>
            </w:r>
          </w:p>
        </w:tc>
        <w:tc>
          <w:tcPr/>
          <w:p>
            <w:pPr>
              <w:pStyle w:val="Compact"/>
            </w:pPr>
            <w:r>
              <w:t xml:space="preserve">CM-3, AU-6</w:t>
            </w:r>
          </w:p>
        </w:tc>
        <w:tc>
          <w:tcPr/>
          <w:p>
            <w:pPr>
              <w:pStyle w:val="Compact"/>
            </w:pPr>
            <w:r>
              <w:t xml:space="preserve">SBOM diff between releases: every dependency change is logged as a structured artifact with author, timestamp, and before/after hash. Ingested by Sentinel (Part 13) as a structured change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Immutable Redeployment over Direct Modification</w:t>
            </w:r>
          </w:p>
        </w:tc>
        <w:tc>
          <w:tcPr/>
          <w:p>
            <w:pPr>
              <w:pStyle w:val="Compact"/>
            </w:pPr>
            <w:r>
              <w:t xml:space="preserve">CM-2, SA-10</w:t>
            </w:r>
          </w:p>
        </w:tc>
        <w:tc>
          <w:tcPr/>
          <w:p>
            <w:pPr>
              <w:pStyle w:val="Compact"/>
            </w:pPr>
            <w:r>
              <w:t xml:space="preserve">SLSA provenance attestation: every production artifact is built from a versioned source, not modified in-place. The SBOM manifest + SLSA Level 2 record proves the deployed artifact matches the build artifact.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Change-Procedure Effectiveness Review</w:t>
            </w:r>
          </w:p>
        </w:tc>
        <w:tc>
          <w:tcPr/>
          <w:p>
            <w:pPr>
              <w:pStyle w:val="Compact"/>
            </w:pPr>
            <w:r>
              <w:t xml:space="preserve">CM-3, CA-7</w:t>
            </w:r>
          </w:p>
        </w:tc>
        <w:tc>
          <w:tcPr/>
          <w:p>
            <w:pPr>
              <w:pStyle w:val="Compact"/>
            </w:pPr>
            <w:r>
              <w:t xml:space="preserve">VEX quarterly review cycle: VEX assertions must be reviewed every 90 days or upon new CVE disclosure. Review completion is a dated, signed record — the change-procedure effectiveness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Automated Validation Throughout Deployment</w:t>
            </w:r>
          </w:p>
        </w:tc>
        <w:tc>
          <w:tcPr/>
          <w:p>
            <w:pPr>
              <w:pStyle w:val="Compact"/>
            </w:pPr>
            <w:r>
              <w:t xml:space="preserve">CM-3(2), SA-11</w:t>
            </w:r>
          </w:p>
        </w:tc>
        <w:tc>
          <w:tcPr/>
          <w:p>
            <w:pPr>
              <w:pStyle w:val="Compact"/>
            </w:pPr>
            <w:r>
              <w:t xml:space="preserve">Grype scan runs on every PR and blocks merge if a new critical CVE appears in the SBOM. Scan result = machine-readable validation artifact per deployment.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4fb379a067686b0992d2d320e68f5b27e9c8070"/>
    <w:p>
      <w:pPr>
        <w:pStyle w:val="Heading1"/>
      </w:pPr>
      <w:r>
        <w:t xml:space="preserve">7. SLSA Supply Chain Levels for Software Artifacts</w:t>
      </w:r>
    </w:p>
    <w:p>
      <w:pPr>
        <w:pStyle w:val="FirstParagraph"/>
      </w:pPr>
      <w:r>
        <w:t xml:space="preserve">SLSA (Supply Chain Levels for Software Artifacts) is the NIST-endorsed framework</w:t>
      </w:r>
      <w:r>
        <w:t xml:space="preserve"> </w:t>
      </w:r>
      <w:r>
        <w:t xml:space="preserve">for measuring build integrity. The pipeline targets</w:t>
      </w:r>
      <w:r>
        <w:t xml:space="preserve"> </w:t>
      </w:r>
      <w:r>
        <w:rPr>
          <w:b/>
          <w:bCs/>
        </w:rPr>
        <w:t xml:space="preserve">SLSA Level 2</w:t>
      </w:r>
      <w:r>
        <w:t xml:space="preserve"> </w:t>
      </w:r>
      <w:r>
        <w:t xml:space="preserve">for initial</w:t>
      </w:r>
      <w:r>
        <w:t xml:space="preserve"> </w:t>
      </w:r>
      <w:r>
        <w:t xml:space="preserve">compliance, progressing to Level 3 before the authorization deadline.</w:t>
      </w:r>
    </w:p>
    <w:p>
      <w:pPr>
        <w:pStyle w:val="TableCaption"/>
      </w:pPr>
      <w:r>
        <w:t xml:space="preserve">SLSA Levels and SSA Implementation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LSA Levels and SSA Implementation Pat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SLSA Level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SSA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Provenance document exists</w:t>
            </w:r>
          </w:p>
        </w:tc>
        <w:tc>
          <w:tcPr/>
          <w:p>
            <w:pPr>
              <w:pStyle w:val="Compact"/>
            </w:pPr>
            <w:r>
              <w:t xml:space="preserve">GitHub Actions SBOM workflow produces attestation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Hosted build, signed provenance</w:t>
            </w:r>
          </w:p>
        </w:tc>
        <w:tc>
          <w:tcPr/>
          <w:p>
            <w:pPr>
              <w:pStyle w:val="Compact"/>
            </w:pPr>
            <w:r>
              <w:t xml:space="preserve">GitHub Actions runs on GitHub-hosted runners; provenance signed by OIDC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Hardened build, two-party review</w:t>
            </w:r>
          </w:p>
        </w:tc>
        <w:tc>
          <w:tcPr/>
          <w:p>
            <w:pPr>
              <w:pStyle w:val="Compact"/>
            </w:pPr>
            <w:r>
              <w:t xml:space="preserve">Level 3 target — requires branch protection + required reviewers for release workflow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continuous-monitoring-integration"/>
    <w:p>
      <w:pPr>
        <w:pStyle w:val="Heading1"/>
      </w:pPr>
      <w:r>
        <w:t xml:space="preserve">8. Continuous Monitoring Integration</w:t>
      </w:r>
    </w:p>
    <w:bookmarkStart w:id="34" w:name="sentinel-dashboard-ksi-mla-integration"/>
    <w:p>
      <w:pPr>
        <w:pStyle w:val="Heading2"/>
      </w:pPr>
      <w:r>
        <w:t xml:space="preserve">8.1 Sentinel Dashboard (KSI-MLA Integration)</w:t>
      </w:r>
    </w:p>
    <w:p>
      <w:pPr>
        <w:pStyle w:val="FirstParagraph"/>
      </w:pPr>
      <w:r>
        <w:t xml:space="preserve">The SBOM/VDR/VEX pipeline integrates with Microsoft Sentinel (Part 13) via a</w:t>
      </w:r>
      <w:r>
        <w:t xml:space="preserve"> </w:t>
      </w:r>
      <w:r>
        <w:t xml:space="preserve">custom data connector that ingests:</w:t>
      </w:r>
    </w:p>
    <w:p>
      <w:pPr>
        <w:pStyle w:val="Compact"/>
        <w:numPr>
          <w:ilvl w:val="0"/>
          <w:numId w:val="1003"/>
        </w:numPr>
      </w:pPr>
      <w:r>
        <w:t xml:space="preserve">Daily SBOM diff (new/removed/updated components)</w:t>
      </w:r>
    </w:p>
    <w:p>
      <w:pPr>
        <w:pStyle w:val="Compact"/>
        <w:numPr>
          <w:ilvl w:val="0"/>
          <w:numId w:val="1003"/>
        </w:numPr>
      </w:pPr>
      <w:r>
        <w:t xml:space="preserve">VDR CVE count by severity (critical/high/medium/low)</w:t>
      </w:r>
    </w:p>
    <w:p>
      <w:pPr>
        <w:pStyle w:val="Compact"/>
        <w:numPr>
          <w:ilvl w:val="0"/>
          <w:numId w:val="1003"/>
        </w:numPr>
      </w:pPr>
      <w:r>
        <w:t xml:space="preserve">VEX assertion status distribution (not_affected / affected / fixed / under_investigation)</w:t>
      </w:r>
    </w:p>
    <w:p>
      <w:pPr>
        <w:pStyle w:val="Compact"/>
        <w:numPr>
          <w:ilvl w:val="0"/>
          <w:numId w:val="1003"/>
        </w:numPr>
      </w:pPr>
      <w:r>
        <w:t xml:space="preserve">KEV hit count (number of SBOM components with active KEV entries)</w:t>
      </w:r>
    </w:p>
    <w:p>
      <w:pPr>
        <w:pStyle w:val="Compact"/>
        <w:numPr>
          <w:ilvl w:val="0"/>
          <w:numId w:val="1003"/>
        </w:numPr>
      </w:pPr>
      <w:r>
        <w:t xml:space="preserve">Days-since-last-VEX-review per product</w:t>
      </w:r>
    </w:p>
    <w:p>
      <w:pPr>
        <w:pStyle w:val="FirstParagraph"/>
      </w:pPr>
      <w:r>
        <w:t xml:space="preserve">KQL analytic rule for KEV breach:</w:t>
      </w:r>
    </w:p>
    <w:p>
      <w:pPr>
        <w:pStyle w:val="SourceCode"/>
      </w:pPr>
      <w:r>
        <w:rPr>
          <w:rStyle w:val="VerbatimChar"/>
        </w:rPr>
        <w:t xml:space="preserve">SBOMVulnerabilities_CL</w:t>
      </w:r>
      <w:r>
        <w:br/>
      </w:r>
      <w:r>
        <w:rPr>
          <w:rStyle w:val="VerbatimChar"/>
        </w:rPr>
        <w:t xml:space="preserve">| where TimeGenerated &gt; ago(1d)</w:t>
      </w:r>
      <w:r>
        <w:br/>
      </w:r>
      <w:r>
        <w:rPr>
          <w:rStyle w:val="VerbatimChar"/>
        </w:rPr>
        <w:t xml:space="preserve">| where kev_listed_b == true</w:t>
      </w:r>
      <w:r>
        <w:br/>
      </w:r>
      <w:r>
        <w:rPr>
          <w:rStyle w:val="VerbatimChar"/>
        </w:rPr>
        <w:t xml:space="preserve">| where vex_status_s in ("affected", "under_investigation")</w:t>
      </w:r>
      <w:r>
        <w:br/>
      </w:r>
      <w:r>
        <w:rPr>
          <w:rStyle w:val="VerbatimChar"/>
        </w:rPr>
        <w:t xml:space="preserve">| where days_since_disclosure_d &gt; 14</w:t>
      </w:r>
      <w:r>
        <w:br/>
      </w:r>
      <w:r>
        <w:rPr>
          <w:rStyle w:val="VerbatimChar"/>
        </w:rPr>
        <w:t xml:space="preserve">| project CVE = cve_id_s, Component = component_name_s,</w:t>
      </w:r>
      <w:r>
        <w:br/>
      </w:r>
      <w:r>
        <w:rPr>
          <w:rStyle w:val="VerbatimChar"/>
        </w:rPr>
        <w:t xml:space="preserve">          CVSS = cvss_score_d, KEVDate = kev_date_added_t,</w:t>
      </w:r>
      <w:r>
        <w:br/>
      </w:r>
      <w:r>
        <w:rPr>
          <w:rStyle w:val="VerbatimChar"/>
        </w:rPr>
        <w:t xml:space="preserve">          DaysOverdue = days_since_disclosure_d - 14</w:t>
      </w:r>
      <w:r>
        <w:br/>
      </w:r>
      <w:r>
        <w:rPr>
          <w:rStyle w:val="VerbatimChar"/>
        </w:rPr>
        <w:t xml:space="preserve">| order by DaysOverdue desc</w:t>
      </w:r>
    </w:p>
    <w:bookmarkEnd w:id="34"/>
    <w:bookmarkStart w:id="35" w:name="evidence-manifest"/>
    <w:p>
      <w:pPr>
        <w:pStyle w:val="Heading2"/>
      </w:pPr>
      <w:r>
        <w:t xml:space="preserve">8.2 Evidence Manifest</w:t>
      </w:r>
    </w:p>
    <w:p>
      <w:pPr>
        <w:pStyle w:val="FirstParagraph"/>
      </w:pPr>
      <w:r>
        <w:t xml:space="preserve">Every SBOM generation run produces a signed manifest: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"manifest_version"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"sbom_hash_sha256"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"e3b0c44298fc1c149..."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"vdr_hash_sha256"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"a87ff679a2f3e71d9..."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"vex_hash_sha256"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"1679091c5a880faf6..."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"kev_hits"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"slsa_provenance_url"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"https://github.com/WhalerMike/uiao/attestations/..."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"storage_uri"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"https://sbomarchive.blob.core.windows.net/sbom-archive/2026/07/03/sbom-abc123.xml"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mplementation-checklist"/>
    <w:p>
      <w:pPr>
        <w:pStyle w:val="Heading1"/>
      </w:pPr>
      <w:r>
        <w:t xml:space="preserve">9. Implementation Checklist</w:t>
      </w:r>
    </w:p>
    <w:p>
      <w:pPr>
        <w:pStyle w:val="TableCaption"/>
      </w:pPr>
      <w:r>
        <w:t xml:space="preserve">Part 15 — Implementation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Implementation Checklis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Install Syft and Grype in GitHub Actions CI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Generate initial SBOM for all production repos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Register with MSRC, Cisco PSIRT, Infoblox security portals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Author initial VEX for all critical/high CVEs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Submit SBOM + VDR to CISA VEX Portal (test submission)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Update acquisition policy to require SBOM from suppliers</w:t>
            </w:r>
          </w:p>
        </w:tc>
        <w:tc>
          <w:tcPr/>
          <w:p>
            <w:pPr>
              <w:pStyle w:val="Compact"/>
            </w:pPr>
            <w:r>
              <w:t xml:space="preserve">Contracting</w:t>
            </w:r>
          </w:p>
        </w:tc>
        <w:tc>
          <w:tcPr/>
          <w:p>
            <w:pPr>
              <w:pStyle w:val="Compact"/>
            </w:pPr>
            <w:r>
              <w:t xml:space="preserve">Sep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Achieve SLSA Level 2 for all production release workflows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Oct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Complete VEX quarterly review cycle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Final BOD 26-04 VDR/VER submission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Dec 7,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chnology-stack-summary"/>
    <w:p>
      <w:pPr>
        <w:pStyle w:val="Heading1"/>
      </w:pPr>
      <w:r>
        <w:t xml:space="preserve">10. Technology Stack Summary</w:t>
      </w:r>
    </w:p>
    <w:p>
      <w:pPr>
        <w:pStyle w:val="TableCaption"/>
      </w:pPr>
      <w:r>
        <w:t xml:space="preserve">Part 15 —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Technology Stack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</w:t>
            </w:r>
          </w:p>
        </w:tc>
        <w:tc>
          <w:tcPr/>
          <w:p>
            <w:pPr>
              <w:pStyle w:val="Compact"/>
            </w:pPr>
            <w:r>
              <w:t xml:space="preserve">CycloneDX 1.6 XML</w:t>
            </w:r>
          </w:p>
        </w:tc>
        <w:tc>
          <w:tcPr/>
          <w:p>
            <w:pPr>
              <w:pStyle w:val="Compact"/>
            </w:pPr>
            <w:r>
              <w:t xml:space="preserve">NTIA minimum elements; CISA 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Grype (Anchore)</w:t>
            </w:r>
          </w:p>
        </w:tc>
        <w:tc>
          <w:tcPr/>
          <w:p>
            <w:pPr>
              <w:pStyle w:val="Compact"/>
            </w:pPr>
            <w:r>
              <w:t xml:space="preserve">CycloneDX VDR</w:t>
            </w:r>
          </w:p>
        </w:tc>
        <w:tc>
          <w:tcPr/>
          <w:p>
            <w:pPr>
              <w:pStyle w:val="Compact"/>
            </w:pPr>
            <w:r>
              <w:t xml:space="preserve">NVD CVE data; CVSS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Authoring</w:t>
            </w:r>
          </w:p>
        </w:tc>
        <w:tc>
          <w:tcPr/>
          <w:p>
            <w:pPr>
              <w:pStyle w:val="Compact"/>
            </w:pPr>
            <w:r>
              <w:t xml:space="preserve">OpenVEX CLI</w:t>
            </w:r>
          </w:p>
        </w:tc>
        <w:tc>
          <w:tcPr/>
          <w:p>
            <w:pPr>
              <w:pStyle w:val="Compact"/>
            </w:pPr>
            <w:r>
              <w:t xml:space="preserve">OpenVEX JSON</w:t>
            </w:r>
          </w:p>
        </w:tc>
        <w:tc>
          <w:tcPr/>
          <w:p>
            <w:pPr>
              <w:pStyle w:val="Compact"/>
            </w:pPr>
            <w:r>
              <w:t xml:space="preserve">CISA VEX format; submitted via VEX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Signing</w:t>
            </w:r>
          </w:p>
        </w:tc>
        <w:tc>
          <w:tcPr/>
          <w:p>
            <w:pPr>
              <w:pStyle w:val="Compact"/>
            </w:pPr>
            <w:r>
              <w:t xml:space="preserve">Cosign (sigstore)</w:t>
            </w:r>
          </w:p>
        </w:tc>
        <w:tc>
          <w:tcPr/>
          <w:p>
            <w:pPr>
              <w:pStyle w:val="Compact"/>
            </w:pPr>
            <w:r>
              <w:t xml:space="preserve">OCI attestation</w:t>
            </w:r>
          </w:p>
        </w:tc>
        <w:tc>
          <w:tcPr/>
          <w:p>
            <w:pPr>
              <w:pStyle w:val="Compact"/>
            </w:pPr>
            <w:r>
              <w:t xml:space="preserve">SLSA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Integration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YAML workflow</w:t>
            </w:r>
          </w:p>
        </w:tc>
        <w:tc>
          <w:tcPr/>
          <w:p>
            <w:pPr>
              <w:pStyle w:val="Compact"/>
            </w:pPr>
            <w:r>
              <w:t xml:space="preserve">SLSA Level 2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Storage</w:t>
            </w:r>
          </w:p>
        </w:tc>
        <w:tc>
          <w:tcPr/>
          <w:p>
            <w:pPr>
              <w:pStyle w:val="Compact"/>
            </w:pPr>
            <w:r>
              <w:t xml:space="preserve">Azure Blob immutable tier</w:t>
            </w:r>
          </w:p>
        </w:tc>
        <w:tc>
          <w:tcPr/>
          <w:p>
            <w:pPr>
              <w:pStyle w:val="Compact"/>
            </w:pPr>
            <w:r>
              <w:t xml:space="preserve">Archive tier</w:t>
            </w:r>
          </w:p>
        </w:tc>
        <w:tc>
          <w:tcPr/>
          <w:p>
            <w:pPr>
              <w:pStyle w:val="Compact"/>
            </w:pPr>
            <w:r>
              <w:t xml:space="preserve">7-year NARA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Microsoft Sentinel (Part 13)</w:t>
            </w:r>
          </w:p>
        </w:tc>
        <w:tc>
          <w:tcPr/>
          <w:p>
            <w:pPr>
              <w:pStyle w:val="Compact"/>
            </w:pPr>
            <w:r>
              <w:t xml:space="preserve">KQL analytics</w:t>
            </w:r>
          </w:p>
        </w:tc>
        <w:tc>
          <w:tcPr/>
          <w:p>
            <w:pPr>
              <w:pStyle w:val="Compact"/>
            </w:pPr>
            <w:r>
              <w:t xml:space="preserve">KSI-MLA evidence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KEV Integration</w:t>
            </w:r>
          </w:p>
        </w:tc>
        <w:tc>
          <w:tcPr/>
          <w:p>
            <w:pPr>
              <w:pStyle w:val="Compact"/>
            </w:pPr>
            <w:r>
              <w:t xml:space="preserve">CISA KEV JSON feed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BOD 22-01 14-day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references"/>
    <w:p>
      <w:pPr>
        <w:pStyle w:val="Heading1"/>
      </w:pPr>
      <w:r>
        <w:t xml:space="preserve">11. References</w:t>
      </w:r>
    </w:p>
    <w:p>
      <w:pPr>
        <w:pStyle w:val="TableCaption"/>
      </w:pPr>
      <w:r>
        <w:t xml:space="preserve">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ference Docu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 — Improving the Nation’s Cybersecurity (May 2021)</w:t>
            </w:r>
          </w:p>
        </w:tc>
        <w:tc>
          <w:tcPr/>
          <w:p>
            <w:pPr>
              <w:pStyle w:val="Compact"/>
            </w:pPr>
            <w:r>
              <w:t xml:space="preserve">Mandates SBOM for software sold to the federal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800-161r1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Normative reference for SR family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BOD 26-04</w:t>
            </w:r>
          </w:p>
        </w:tc>
        <w:tc>
          <w:tcPr/>
          <w:p>
            <w:pPr>
              <w:pStyle w:val="Compact"/>
            </w:pPr>
            <w:r>
              <w:t xml:space="preserve">VDR/VER deadline Dec 7, 2026; SBOM submission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Minimum SBOM Elements (July 2021)</w:t>
            </w:r>
          </w:p>
        </w:tc>
        <w:tc>
          <w:tcPr/>
          <w:p>
            <w:pPr>
              <w:pStyle w:val="Compact"/>
            </w:pPr>
            <w:r>
              <w:t xml:space="preserve">NTIA-aligned minimum content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1.6 Specification</w:t>
            </w:r>
          </w:p>
        </w:tc>
        <w:tc>
          <w:tcPr/>
          <w:p>
            <w:pPr>
              <w:pStyle w:val="Compact"/>
            </w:pPr>
            <w:r>
              <w:t xml:space="preserve">SBOM, VDR, and VEX document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OpenVEX v0.2.0</w:t>
            </w:r>
          </w:p>
        </w:tc>
        <w:tc>
          <w:tcPr/>
          <w:p>
            <w:pPr>
              <w:pStyle w:val="Compact"/>
            </w:pPr>
            <w:r>
              <w:t xml:space="preserve">VEX statement format and submission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SLSA v1.0 Framework</w:t>
            </w:r>
          </w:p>
        </w:tc>
        <w:tc>
          <w:tcPr/>
          <w:p>
            <w:pPr>
              <w:pStyle w:val="Compact"/>
            </w:pPr>
            <w:r>
              <w:t xml:space="preserve">Build integrity levels and provenance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 — SR Family</w:t>
            </w:r>
          </w:p>
        </w:tc>
        <w:tc>
          <w:tcPr/>
          <w:p>
            <w:pPr>
              <w:pStyle w:val="Compact"/>
            </w:pPr>
            <w:r>
              <w:t xml:space="preserve">SR-1 through SR-11 control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 25, 2026)</w:t>
            </w:r>
          </w:p>
        </w:tc>
        <w:tc>
          <w:tcPr/>
          <w:p>
            <w:pPr>
              <w:pStyle w:val="Compact"/>
            </w:pPr>
            <w:r>
              <w:t xml:space="preserve">KSI-SCR and KSI-CMT requirements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Book 11 — Vulnerability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Defender VM + KEV integration; extends to SBOM-sourced CVE triage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Book 13 — SIEM / XDR / Detection Engineering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Sentinel ingestion of SBOM/VDR telemetry; KQL analytic rules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9" Target="Book_11_FedAAN_Vulnerability_Management.qmd" TargetMode="External" /><Relationship Type="http://schemas.openxmlformats.org/officeDocument/2006/relationships/hyperlink" Id="rId40" Target="Book_13_FedAAN_SIEM_XDR_Det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Book_11_FedAAN_Vulnerability_Management.qmd" TargetMode="External" /><Relationship Type="http://schemas.openxmlformats.org/officeDocument/2006/relationships/hyperlink" Id="rId40" Target="Book_13_FedAAN_SIEM_XDR_Det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15 — Federal Application-Aware Networking — Part 15</dc:title>
  <dc:creator>SSA Cloud Services Team</dc:creator>
  <cp:keywords/>
  <dcterms:created xsi:type="dcterms:W3CDTF">2026-07-06T11:38:36Z</dcterms:created>
  <dcterms:modified xsi:type="dcterms:W3CDTF">2026-07-06T11:38:36Z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Supply Chain Risk Management: SBOM, VDR, and VER Framework for FedRAMP 20x and BOD 26-04</vt:lpwstr>
  </property>
  <property fmtid="{D5CDD505-2E9C-101B-9397-08002B2CF9AE}" pid="14" name="toc-title">
    <vt:lpwstr>Table of contents</vt:lpwstr>
  </property>
</Properties>
</file>