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15 — Federal Application-Aware Networking — Part 15</w:t>
      </w:r>
    </w:p>
    <w:p>
      <w:pPr>
        <w:pStyle w:val="Subtitle"/>
      </w:pPr>
      <w:r>
        <w:t xml:space="preserve">Supply Chain Risk Management: SBOM, VDR, and VER Framework for FedRAMP 20x and BOD 26-04</w:t>
      </w:r>
    </w:p>
    <w:p>
      <w:pPr>
        <w:pStyle w:val="Author"/>
      </w:pPr>
      <w:r>
        <w:t xml:space="preserve">SSA Cloud Services Team</w:t>
      </w:r>
    </w:p>
    <w:p>
      <w:pPr>
        <w:pStyle w:val="Date"/>
      </w:pPr>
      <w:r>
        <w:t xml:space="preserve">2026-07-03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after="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tc>
      </w:tr>
    </w:tbl>
    <w:bookmarkStart w:id="12" w:name="what-this-document-addresses"/>
    <w:p>
      <w:pPr>
        <w:pStyle w:val="Heading2"/>
      </w:pPr>
      <w:r>
        <w:t xml:space="preserve">0.1 What This Document Addresses</w:t>
      </w:r>
    </w:p>
    <w:p>
      <w:pPr>
        <w:pStyle w:val="FirstParagraph"/>
      </w:pPr>
      <w:r>
        <w:t xml:space="preserve">Supply chain risk is the fastest-growing attack vector in the federal technology</w:t>
      </w:r>
      <w:r>
        <w:t xml:space="preserve"> </w:t>
      </w:r>
      <w:r>
        <w:t xml:space="preserve">landscape. Executive Order 14028 (May 2021), NIST SP 800-161r1, and CISA</w:t>
      </w:r>
      <w:r>
        <w:t xml:space="preserve"> </w:t>
      </w:r>
      <w:r>
        <w:t xml:space="preserve">Binding Operational Directive 26-04 together establish a mandatory framework:</w:t>
      </w:r>
      <w:r>
        <w:t xml:space="preserve"> </w:t>
      </w:r>
      <w:r>
        <w:t xml:space="preserve">agencies must be able to enumerate every software component in their production</w:t>
      </w:r>
      <w:r>
        <w:t xml:space="preserve"> </w:t>
      </w:r>
      <w:r>
        <w:t xml:space="preserve">systems, disclose vulnerability status for those components, and demonstrate</w:t>
      </w:r>
      <w:r>
        <w:t xml:space="preserve"> </w:t>
      </w:r>
      <w:r>
        <w:t xml:space="preserve">that exploitable vulnerabilities are tracked, triaged, and remediated.</w:t>
      </w:r>
    </w:p>
    <w:p>
      <w:pPr>
        <w:pStyle w:val="BodyText"/>
      </w:pPr>
      <w:r>
        <w:t xml:space="preserve">The</w:t>
      </w:r>
      <w:r>
        <w:t xml:space="preserve"> </w:t>
      </w:r>
      <w:r>
        <w:rPr>
          <w:b/>
          <w:bCs/>
        </w:rPr>
        <w:t xml:space="preserve">December 7, 2026 BOD 26-04 VDR/VER deadline</w:t>
      </w:r>
      <w:r>
        <w:t xml:space="preserve"> </w:t>
      </w:r>
      <w:r>
        <w:t xml:space="preserve">is the hardest date in the</w:t>
      </w:r>
      <w:r>
        <w:t xml:space="preserve"> </w:t>
      </w:r>
      <w:r>
        <w:t xml:space="preserve">FedRAMP 20x compliance calendar for SSA. It requires:</w:t>
      </w:r>
    </w:p>
    <w:p>
      <w:pPr>
        <w:pStyle w:val="Compact"/>
        <w:numPr>
          <w:ilvl w:val="0"/>
          <w:numId w:val="1001"/>
        </w:numPr>
      </w:pPr>
      <w:r>
        <w:t xml:space="preserve">A</w:t>
      </w:r>
      <w:r>
        <w:t xml:space="preserve"> </w:t>
      </w:r>
      <w:r>
        <w:rPr>
          <w:b/>
          <w:bCs/>
        </w:rPr>
        <w:t xml:space="preserve">Software Bill of Materials (SBOM)</w:t>
      </w:r>
      <w:r>
        <w:t xml:space="preserve"> </w:t>
      </w:r>
      <w:r>
        <w:t xml:space="preserve">for every system — a machine-readable</w:t>
      </w:r>
      <w:r>
        <w:t xml:space="preserve"> </w:t>
      </w:r>
      <w:r>
        <w:t xml:space="preserve">inventory of every software component, version, and supplier in production</w:t>
      </w:r>
    </w:p>
    <w:p>
      <w:pPr>
        <w:pStyle w:val="Compact"/>
        <w:numPr>
          <w:ilvl w:val="0"/>
          <w:numId w:val="1001"/>
        </w:numPr>
      </w:pPr>
      <w:r>
        <w:t xml:space="preserve">A</w:t>
      </w:r>
      <w:r>
        <w:t xml:space="preserve"> </w:t>
      </w:r>
      <w:r>
        <w:rPr>
          <w:b/>
          <w:bCs/>
        </w:rPr>
        <w:t xml:space="preserve">Vulnerability Disclosure Report (VDR)</w:t>
      </w:r>
      <w:r>
        <w:t xml:space="preserve"> </w:t>
      </w:r>
      <w:r>
        <w:t xml:space="preserve">— a structured enumeration of</w:t>
      </w:r>
      <w:r>
        <w:t xml:space="preserve"> </w:t>
      </w:r>
      <w:r>
        <w:t xml:space="preserve">known vulnerabilities in SBOM components</w:t>
      </w:r>
    </w:p>
    <w:p>
      <w:pPr>
        <w:pStyle w:val="Compact"/>
        <w:numPr>
          <w:ilvl w:val="0"/>
          <w:numId w:val="1001"/>
        </w:numPr>
      </w:pPr>
      <w:r>
        <w:t xml:space="preserve">A</w:t>
      </w:r>
      <w:r>
        <w:t xml:space="preserve"> </w:t>
      </w:r>
      <w:r>
        <w:rPr>
          <w:b/>
          <w:bCs/>
        </w:rPr>
        <w:t xml:space="preserve">Vulnerability Exploitability eXchange (VEX)</w:t>
      </w:r>
      <w:r>
        <w:t xml:space="preserve"> </w:t>
      </w:r>
      <w:r>
        <w:t xml:space="preserve">document — a machine-readable</w:t>
      </w:r>
      <w:r>
        <w:t xml:space="preserve"> </w:t>
      </w:r>
      <w:r>
        <w:t xml:space="preserve">assertion for each CVE: is this vulnerability exploitable in this product, in</w:t>
      </w:r>
      <w:r>
        <w:t xml:space="preserve"> </w:t>
      </w:r>
      <w:r>
        <w:t xml:space="preserve">this deployment context?</w:t>
      </w:r>
    </w:p>
    <w:p>
      <w:pPr>
        <w:pStyle w:val="FirstParagraph"/>
      </w:pPr>
      <w:r>
        <w:t xml:space="preserve">This document establishes the technical architecture, pipeline, and governance</w:t>
      </w:r>
      <w:r>
        <w:t xml:space="preserve"> </w:t>
      </w:r>
      <w:r>
        <w:t xml:space="preserve">process for all three. It closes eight NIST SP 800-53 Rev 5 SR family controls</w:t>
      </w:r>
      <w:r>
        <w:t xml:space="preserve"> </w:t>
      </w:r>
      <w:r>
        <w:t xml:space="preserve">and provides the VER evidence contract required to upgrade KSI-CMT rules</w:t>
      </w:r>
      <w:r>
        <w:t xml:space="preserve"> </w:t>
      </w:r>
      <w:r>
        <w:t xml:space="preserve">KSI-011 through KSI-014 from scaffold to evaluable status.</w:t>
      </w:r>
    </w:p>
    <w:p>
      <w:r>
        <w:pict>
          <v:rect style="width:0;height:1.5pt" o:hralign="center" o:hrstd="t" o:hr="t"/>
        </w:pict>
      </w:r>
    </w:p>
    <w:bookmarkEnd w:id="12"/>
    <w:bookmarkStart w:id="13" w:name="the-bod-26-04-compliance-requirement"/>
    <w:p>
      <w:pPr>
        <w:pStyle w:val="Heading1"/>
      </w:pPr>
      <w:r>
        <w:t xml:space="preserve">1. The BOD 26-04 Compliance Requirement</w:t>
      </w:r>
    </w:p>
    <w:p>
      <w:pPr>
        <w:pStyle w:val="FirstParagraph"/>
      </w:pPr>
      <w:r>
        <w:t xml:space="preserve">CISA Binding Operational Directive 26-04 activates the SBOM/VDR/VER requirement</w:t>
      </w:r>
      <w:r>
        <w:t xml:space="preserve"> </w:t>
      </w:r>
      <w:r>
        <w:t xml:space="preserve">for all federal civilian executive branch (FCEB) agencies effective</w:t>
      </w:r>
      <w:r>
        <w:t xml:space="preserve"> </w:t>
      </w:r>
      <w:r>
        <w:rPr>
          <w:b/>
          <w:bCs/>
        </w:rPr>
        <w:t xml:space="preserve">December 7, 2026</w:t>
      </w:r>
      <w:r>
        <w:t xml:space="preserve">. The directive defines three tiers:</w:t>
      </w:r>
    </w:p>
    <w:p>
      <w:pPr>
        <w:pStyle w:val="TableCaption"/>
      </w:pPr>
      <w:r>
        <w:t xml:space="preserve">BOD 26-04 Compliance Tiers</w:t>
      </w:r>
    </w:p>
    <w:tbl>
      <w:tblPr>
        <w:tblStyle w:val="Table"/>
        <w:tblW w:type="pct" w:w="5000"/>
        <w:tblLayout w:type="fixed"/>
        <w:tblLook w:firstRow="1" w:lastRow="0" w:firstColumn="0" w:lastColumn="0" w:noHBand="0" w:noVBand="0" w:val="0020"/>
        <w:tblCaption w:val="BOD 26-04 Compliance Tiers"/>
      </w:tblPr>
      <w:tblGrid>
        <w:gridCol w:w="1638"/>
        <w:gridCol w:w="3550"/>
        <w:gridCol w:w="2731"/>
      </w:tblGrid>
      <w:tr>
        <w:trPr>
          <w:tblHeader w:val="on"/>
        </w:trPr>
        <w:tc>
          <w:tcPr/>
          <w:p>
            <w:pPr>
              <w:pStyle w:val="Compact"/>
            </w:pPr>
            <w:r>
              <w:t xml:space="preserve">Tier</w:t>
            </w:r>
          </w:p>
        </w:tc>
        <w:tc>
          <w:tcPr/>
          <w:p>
            <w:pPr>
              <w:pStyle w:val="Compact"/>
            </w:pPr>
            <w:r>
              <w:t xml:space="preserve">Requirement</w:t>
            </w:r>
          </w:p>
        </w:tc>
        <w:tc>
          <w:tcPr/>
          <w:p>
            <w:pPr>
              <w:pStyle w:val="Compact"/>
            </w:pPr>
            <w:r>
              <w:t xml:space="preserve">Deadline</w:t>
            </w:r>
          </w:p>
        </w:tc>
      </w:tr>
      <w:tr>
        <w:tc>
          <w:tcPr/>
          <w:p>
            <w:pPr>
              <w:pStyle w:val="Compact"/>
            </w:pPr>
            <w:r>
              <w:rPr>
                <w:b/>
                <w:bCs/>
              </w:rPr>
              <w:t xml:space="preserve">Tier 1</w:t>
            </w:r>
          </w:p>
        </w:tc>
        <w:tc>
          <w:tcPr/>
          <w:p>
            <w:pPr>
              <w:pStyle w:val="Compact"/>
            </w:pPr>
            <w:r>
              <w:t xml:space="preserve">SBOM present for all production systems</w:t>
            </w:r>
          </w:p>
        </w:tc>
        <w:tc>
          <w:tcPr/>
          <w:p>
            <w:pPr>
              <w:pStyle w:val="Compact"/>
            </w:pPr>
            <w:r>
              <w:t xml:space="preserve">December 7, 2026</w:t>
            </w:r>
          </w:p>
        </w:tc>
      </w:tr>
      <w:tr>
        <w:tc>
          <w:tcPr/>
          <w:p>
            <w:pPr>
              <w:pStyle w:val="Compact"/>
            </w:pPr>
            <w:r>
              <w:rPr>
                <w:b/>
                <w:bCs/>
              </w:rPr>
              <w:t xml:space="preserve">Tier 2</w:t>
            </w:r>
          </w:p>
        </w:tc>
        <w:tc>
          <w:tcPr/>
          <w:p>
            <w:pPr>
              <w:pStyle w:val="Compact"/>
            </w:pPr>
            <w:r>
              <w:t xml:space="preserve">VDR present — vulnerability disclosure for all SBOM components</w:t>
            </w:r>
          </w:p>
        </w:tc>
        <w:tc>
          <w:tcPr/>
          <w:p>
            <w:pPr>
              <w:pStyle w:val="Compact"/>
            </w:pPr>
            <w:r>
              <w:t xml:space="preserve">December 7, 2026</w:t>
            </w:r>
          </w:p>
        </w:tc>
      </w:tr>
      <w:tr>
        <w:tc>
          <w:tcPr/>
          <w:p>
            <w:pPr>
              <w:pStyle w:val="Compact"/>
            </w:pPr>
            <w:r>
              <w:rPr>
                <w:b/>
                <w:bCs/>
              </w:rPr>
              <w:t xml:space="preserve">Tier 3</w:t>
            </w:r>
          </w:p>
        </w:tc>
        <w:tc>
          <w:tcPr/>
          <w:p>
            <w:pPr>
              <w:pStyle w:val="Compact"/>
            </w:pPr>
            <w:r>
              <w:t xml:space="preserve">VEX present — exploitability assertions for all CVEs in VDR</w:t>
            </w:r>
          </w:p>
        </w:tc>
        <w:tc>
          <w:tcPr/>
          <w:p>
            <w:pPr>
              <w:pStyle w:val="Compact"/>
            </w:pPr>
            <w:r>
              <w:t xml:space="preserve">December 7, 2026</w:t>
            </w:r>
          </w:p>
        </w:tc>
      </w:tr>
    </w:tbl>
    <w:p>
      <w:pPr>
        <w:pStyle w:val="BodyText"/>
      </w:pPr>
      <w:r>
        <w:t xml:space="preserve">Under FedRAMP 20x Consolidated Rules, the same data serves as the machine-readable</w:t>
      </w:r>
      <w:r>
        <w:t xml:space="preserve"> </w:t>
      </w:r>
      <w:r>
        <w:t xml:space="preserve">evidence package for KSI-SCR (Supply Chain Risk), KSI-CMT-VTD (Validation</w:t>
      </w:r>
      <w:r>
        <w:t xml:space="preserve"> </w:t>
      </w:r>
      <w:r>
        <w:t xml:space="preserve">Throughout Deployment), and the SR control family assessment.</w:t>
      </w:r>
    </w:p>
    <w:p>
      <w:r>
        <w:pict>
          <v:rect style="width:0;height:1.5pt" o:hralign="center" o:hrstd="t" o:hr="t"/>
        </w:pict>
      </w:r>
    </w:p>
    <w:bookmarkEnd w:id="13"/>
    <w:bookmarkStart w:id="21" w:name="architecture-the-sbomvdrvex-pipeline"/>
    <w:p>
      <w:pPr>
        <w:pStyle w:val="Heading1"/>
      </w:pPr>
      <w:r>
        <w:t xml:space="preserve">2. Architecture: The SBOM/VDR/VEX Pipeline</w:t>
      </w:r>
    </w:p>
    <w:bookmarkStart w:id="17" w:name="pipeline-overview"/>
    <w:p>
      <w:pPr>
        <w:pStyle w:val="Heading2"/>
      </w:pPr>
      <w:r>
        <w:t xml:space="preserve">2.1 Pipeline Overview</w:t>
      </w:r>
    </w:p>
    <w:p>
      <w:pPr>
        <w:pStyle w:val="SourceCode"/>
      </w:pPr>
      <w:r>
        <w:rPr>
          <w:rStyle w:val="VerbatimChar"/>
        </w:rPr>
        <w:t xml:space="preserve">┌─────────────────────────────────────────────────────────────────────┐</w:t>
      </w:r>
      <w:r>
        <w:br/>
      </w:r>
      <w:r>
        <w:rPr>
          <w:rStyle w:val="VerbatimChar"/>
        </w:rPr>
        <w:t xml:space="preserve">│  Source Code + Dependencies                                          │</w:t>
      </w:r>
      <w:r>
        <w:br/>
      </w:r>
      <w:r>
        <w:rPr>
          <w:rStyle w:val="VerbatimChar"/>
        </w:rPr>
        <w:t xml:space="preserve">│  (GitHub repos, container images, IaC artifacts)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SBOM Generation (GitHub Actions CI)                                 │</w:t>
      </w:r>
      <w:r>
        <w:br/>
      </w:r>
      <w:r>
        <w:rPr>
          <w:rStyle w:val="VerbatimChar"/>
        </w:rPr>
        <w:t xml:space="preserve">│  Tool: Syft (Anchore) — outputs CycloneDX 1.6 XML                  │</w:t>
      </w:r>
      <w:r>
        <w:br/>
      </w:r>
      <w:r>
        <w:rPr>
          <w:rStyle w:val="VerbatimChar"/>
        </w:rPr>
        <w:t xml:space="preserve">│  Triggered: every push to main, every release tag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Vulnerability Scan (VDR Generation)                                 │</w:t>
      </w:r>
      <w:r>
        <w:br/>
      </w:r>
      <w:r>
        <w:rPr>
          <w:rStyle w:val="VerbatimChar"/>
        </w:rPr>
        <w:t xml:space="preserve">│  Tool: Grype (Anchore) or Trivy — matches SBOM components to NVD   │</w:t>
      </w:r>
      <w:r>
        <w:br/>
      </w:r>
      <w:r>
        <w:rPr>
          <w:rStyle w:val="VerbatimChar"/>
        </w:rPr>
        <w:t xml:space="preserve">│  Input: CycloneDX SBOM  Output: CycloneDX VDR (CVE list +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VEX Authoring (Exploitability Assertion)                            │</w:t>
      </w:r>
      <w:r>
        <w:br/>
      </w:r>
      <w:r>
        <w:rPr>
          <w:rStyle w:val="VerbatimChar"/>
        </w:rPr>
        <w:t xml:space="preserve">│  Tool: OpenVEX CLI or CycloneDX VEX tooling                        │</w:t>
      </w:r>
      <w:r>
        <w:br/>
      </w:r>
      <w:r>
        <w:rPr>
          <w:rStyle w:val="VerbatimChar"/>
        </w:rPr>
        <w:t xml:space="preserve">│  Output: VEX document asserting not_affected / affected / fixed     │</w:t>
      </w:r>
      <w:r>
        <w:br/>
      </w:r>
      <w:r>
        <w:rPr>
          <w:rStyle w:val="VerbatimChar"/>
        </w:rPr>
        <w:t xml:space="preserve">│  per CVE per product component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Artifact Storage (GitHub Releases + Azure Blob immutable tier)     │</w:t>
      </w:r>
      <w:r>
        <w:br/>
      </w:r>
      <w:r>
        <w:rPr>
          <w:rStyle w:val="VerbatimChar"/>
        </w:rPr>
        <w:t xml:space="preserve">│  Retention: 7 years (NARA standard)                                  │</w:t>
      </w:r>
      <w:r>
        <w:br/>
      </w:r>
      <w:r>
        <w:rPr>
          <w:rStyle w:val="VerbatimChar"/>
        </w:rPr>
        <w:t xml:space="preserve">│  Access: Signed URLs for CISA VEX Portal submission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CISA VEX Portal Submission + Sentinel KSI Dashboard Ingestion      │</w:t>
      </w:r>
      <w:r>
        <w:br/>
      </w:r>
      <w:r>
        <w:rPr>
          <w:rStyle w:val="VerbatimChar"/>
        </w:rPr>
        <w:t xml:space="preserve">│  Feedback loop: new CVEs trigger Defender VM alert (Part 11 chain)   │</w:t>
      </w:r>
      <w:r>
        <w:br/>
      </w:r>
      <w:r>
        <w:rPr>
          <w:rStyle w:val="VerbatimChar"/>
        </w:rPr>
        <w:t xml:space="preserve">└─────────────────────────────────────────────────────────────────────┘</w:t>
      </w:r>
    </w:p>
    <w:p>
      <w:pPr>
        <w:pStyle w:val="CaptionedFigure"/>
      </w:pPr>
      <w:r>
        <w:drawing>
          <wp:inline>
            <wp:extent cx="5334000" cy="2359269"/>
            <wp:effectExtent b="0" l="0" r="0" t="0"/>
            <wp:docPr descr="SBOM / VDR / VEX Pipeline — BOD 26-04 Compliance Stages" title="" id="15" name="Picture"/>
            <a:graphic>
              <a:graphicData uri="http://schemas.openxmlformats.org/drawingml/2006/picture">
                <pic:pic>
                  <pic:nvPicPr>
                    <pic:cNvPr descr="figs/scrm-fig-01-sbom-pipeline.png" id="16" name="Picture"/>
                    <pic:cNvPicPr>
                      <a:picLocks noChangeArrowheads="1" noChangeAspect="1"/>
                    </pic:cNvPicPr>
                  </pic:nvPicPr>
                  <pic:blipFill>
                    <a:blip r:embed="rId14"/>
                    <a:stretch>
                      <a:fillRect/>
                    </a:stretch>
                  </pic:blipFill>
                  <pic:spPr bwMode="auto">
                    <a:xfrm>
                      <a:off x="0" y="0"/>
                      <a:ext cx="5334000" cy="2359269"/>
                    </a:xfrm>
                    <a:prstGeom prst="rect">
                      <a:avLst/>
                    </a:prstGeom>
                    <a:noFill/>
                    <a:ln w="9525">
                      <a:noFill/>
                      <a:headEnd/>
                      <a:tailEnd/>
                    </a:ln>
                  </pic:spPr>
                </pic:pic>
              </a:graphicData>
            </a:graphic>
          </wp:inline>
        </w:drawing>
      </w:r>
    </w:p>
    <w:p>
      <w:pPr>
        <w:pStyle w:val="ImageCaption"/>
      </w:pPr>
      <w:r>
        <w:t xml:space="preserve">SBOM / VDR / VEX Pipeline — BOD 26-04 Compliance Stages</w:t>
      </w:r>
    </w:p>
    <w:bookmarkEnd w:id="17"/>
    <w:bookmarkStart w:id="20" w:name="sbom-generation-with-syft"/>
    <w:p>
      <w:pPr>
        <w:pStyle w:val="Heading2"/>
      </w:pPr>
      <w:r>
        <w:t xml:space="preserve">2.2 SBOM Generation with Syft</w:t>
      </w:r>
    </w:p>
    <w:p>
      <w:pPr>
        <w:pStyle w:val="FirstParagraph"/>
      </w:pPr>
      <w:r>
        <w:t xml:space="preserve">Syft (Anchore) is the CISA-recommended SBOM generator for federal systems. It</w:t>
      </w:r>
      <w:r>
        <w:t xml:space="preserve"> </w:t>
      </w:r>
      <w:r>
        <w:t xml:space="preserve">produces CycloneDX 1.6 XML natively, the format required by the CISA VEX Portal.</w:t>
      </w:r>
    </w:p>
    <w:bookmarkStart w:id="18" w:name="github-actions-integration"/>
    <w:p>
      <w:pPr>
        <w:pStyle w:val="Heading3"/>
      </w:pPr>
      <w:r>
        <w:t xml:space="preserve">2.2.1 GitHub Actions Integration</w:t>
      </w:r>
    </w:p>
    <w:p>
      <w:pPr>
        <w:pStyle w:val="SourceCode"/>
      </w:pPr>
      <w:r>
        <w:rPr>
          <w:rStyle w:val="CommentTok"/>
        </w:rPr>
        <w:t xml:space="preserve"># .github/workflows/sbom.yml</w:t>
      </w:r>
      <w:r>
        <w:br/>
      </w:r>
      <w:r>
        <w:rPr>
          <w:rStyle w:val="FunctionTok"/>
        </w:rPr>
        <w:t xml:space="preserve">name</w:t>
      </w:r>
      <w:r>
        <w:rPr>
          <w:rStyle w:val="KeywordTok"/>
        </w:rPr>
        <w:t xml:space="preserve">:</w:t>
      </w:r>
      <w:r>
        <w:rPr>
          <w:rStyle w:val="AttributeTok"/>
        </w:rPr>
        <w:t xml:space="preserve"> SBOM + VDR Generation</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release</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published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sbom</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security-events</w:t>
      </w:r>
      <w:r>
        <w:rPr>
          <w:rStyle w:val="KeywordTok"/>
        </w:rPr>
        <w:t xml:space="preserve">:</w:t>
      </w:r>
      <w:r>
        <w:rPr>
          <w:rStyle w:val="AttributeTok"/>
        </w:rPr>
        <w:t xml:space="preserve"> write</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SBOM (CycloneDX 1.6)</w:t>
      </w:r>
      <w:r>
        <w:br/>
      </w:r>
      <w:r>
        <w:rPr>
          <w:rStyle w:val="AttributeTok"/>
        </w:rPr>
        <w:t xml:space="preserve">        </w:t>
      </w:r>
      <w:r>
        <w:rPr>
          <w:rStyle w:val="FunctionTok"/>
        </w:rPr>
        <w:t xml:space="preserve">uses</w:t>
      </w:r>
      <w:r>
        <w:rPr>
          <w:rStyle w:val="KeywordTok"/>
        </w:rPr>
        <w:t xml:space="preserve">:</w:t>
      </w:r>
      <w:r>
        <w:rPr>
          <w:rStyle w:val="AttributeTok"/>
        </w:rPr>
        <w:t xml:space="preserve"> anchore/sbom-action@v0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cyclonedx-xml</w:t>
      </w:r>
      <w:r>
        <w:br/>
      </w:r>
      <w:r>
        <w:rPr>
          <w:rStyle w:val="AttributeTok"/>
        </w:rPr>
        <w:t xml:space="preserve">          </w:t>
      </w:r>
      <w:r>
        <w:rPr>
          <w:rStyle w:val="FunctionTok"/>
        </w:rPr>
        <w:t xml:space="preserve">output-file</w:t>
      </w:r>
      <w:r>
        <w:rPr>
          <w:rStyle w:val="KeywordTok"/>
        </w:rPr>
        <w:t xml:space="preserve">:</w:t>
      </w:r>
      <w:r>
        <w:rPr>
          <w:rStyle w:val="AttributeTok"/>
        </w:rPr>
        <w:t xml:space="preserve"> sbom-${{ github.sha }}.xml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Scan SBOM for Vulnerabilities (VDR)</w:t>
      </w:r>
      <w:r>
        <w:br/>
      </w:r>
      <w:r>
        <w:rPr>
          <w:rStyle w:val="AttributeTok"/>
        </w:rPr>
        <w:t xml:space="preserve">        </w:t>
      </w:r>
      <w:r>
        <w:rPr>
          <w:rStyle w:val="FunctionTok"/>
        </w:rPr>
        <w:t xml:space="preserve">uses</w:t>
      </w:r>
      <w:r>
        <w:rPr>
          <w:rStyle w:val="KeywordTok"/>
        </w:rPr>
        <w:t xml:space="preserve">:</w:t>
      </w:r>
      <w:r>
        <w:rPr>
          <w:rStyle w:val="AttributeTok"/>
        </w:rPr>
        <w:t xml:space="preserve"> anchore/scan-action@v3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sbom</w:t>
      </w:r>
      <w:r>
        <w:rPr>
          <w:rStyle w:val="KeywordTok"/>
        </w:rPr>
        <w:t xml:space="preserve">:</w:t>
      </w:r>
      <w:r>
        <w:rPr>
          <w:rStyle w:val="AttributeTok"/>
        </w:rPr>
        <w:t xml:space="preserve"> sbom-${{ github.sha }}.xml</w:t>
      </w:r>
      <w:r>
        <w:br/>
      </w:r>
      <w:r>
        <w:rPr>
          <w:rStyle w:val="AttributeTok"/>
        </w:rPr>
        <w:t xml:space="preserve">          </w:t>
      </w:r>
      <w:r>
        <w:rPr>
          <w:rStyle w:val="FunctionTok"/>
        </w:rPr>
        <w:t xml:space="preserve">output-format</w:t>
      </w:r>
      <w:r>
        <w:rPr>
          <w:rStyle w:val="KeywordTok"/>
        </w:rPr>
        <w:t xml:space="preserve">:</w:t>
      </w:r>
      <w:r>
        <w:rPr>
          <w:rStyle w:val="AttributeTok"/>
        </w:rPr>
        <w:t xml:space="preserve"> cyclonedx-xml</w:t>
      </w:r>
      <w:r>
        <w:br/>
      </w:r>
      <w:r>
        <w:rPr>
          <w:rStyle w:val="AttributeTok"/>
        </w:rPr>
        <w:t xml:space="preserve">          </w:t>
      </w:r>
      <w:r>
        <w:rPr>
          <w:rStyle w:val="FunctionTok"/>
        </w:rPr>
        <w:t xml:space="preserve">fail-build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id</w:t>
      </w:r>
      <w:r>
        <w:rPr>
          <w:rStyle w:val="KeywordTok"/>
        </w:rPr>
        <w:t xml:space="preserve">:</w:t>
      </w:r>
      <w:r>
        <w:rPr>
          <w:rStyle w:val="AttributeTok"/>
        </w:rPr>
        <w:t xml:space="preserve"> scan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SBOM + VDR as release assets</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'release'</w:t>
      </w:r>
      <w:r>
        <w:br/>
      </w:r>
      <w:r>
        <w:rPr>
          <w:rStyle w:val="AttributeTok"/>
        </w:rPr>
        <w:t xml:space="preserve">        </w:t>
      </w:r>
      <w:r>
        <w:rPr>
          <w:rStyle w:val="FunctionTok"/>
        </w:rPr>
        <w:t xml:space="preserve">uses</w:t>
      </w:r>
      <w:r>
        <w:rPr>
          <w:rStyle w:val="KeywordTok"/>
        </w:rPr>
        <w:t xml:space="preserve">:</w:t>
      </w:r>
      <w:r>
        <w:rPr>
          <w:rStyle w:val="AttributeTok"/>
        </w:rPr>
        <w:t xml:space="preserve"> softprops/action-gh-release@v2</w:t>
      </w:r>
      <w:r>
        <w:br/>
      </w:r>
      <w:r>
        <w:rPr>
          <w:rStyle w:val="AttributeTok"/>
        </w:rPr>
        <w:t xml:space="preserve">        </w:t>
      </w:r>
      <w:r>
        <w:rPr>
          <w:rStyle w:val="FunctionTok"/>
        </w:rPr>
        <w:t xml:space="preserve">with</w:t>
      </w:r>
      <w:r>
        <w:rPr>
          <w:rStyle w:val="KeywordTok"/>
        </w:rPr>
        <w:t xml:space="preserve">:</w:t>
      </w:r>
      <w:r>
        <w:br/>
      </w:r>
      <w:r>
        <w:rPr>
          <w:rStyle w:val="FunctionTok"/>
        </w:rPr>
        <w:t xml:space="preserve">          files</w:t>
      </w:r>
      <w:r>
        <w:rPr>
          <w:rStyle w:val="KeywordTok"/>
        </w:rPr>
        <w:t xml:space="preserve">: </w:t>
      </w:r>
      <w:r>
        <w:rPr>
          <w:rStyle w:val="CharTok"/>
        </w:rPr>
        <w:t xml:space="preserve">|</w:t>
      </w:r>
      <w:r>
        <w:br/>
      </w:r>
      <w:r>
        <w:rPr>
          <w:rStyle w:val="NormalTok"/>
        </w:rPr>
        <w:t xml:space="preserve">            sbom-${{ github.sha }}.xml</w:t>
      </w:r>
      <w:r>
        <w:br/>
      </w:r>
      <w:r>
        <w:rPr>
          <w:rStyle w:val="NormalTok"/>
        </w:rPr>
        <w:t xml:space="preserve">            ${{ steps.scan.outputs.sarif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Store to Azure Blob immutable tier</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AZURE_STORAGE_ACCOUNT</w:t>
      </w:r>
      <w:r>
        <w:rPr>
          <w:rStyle w:val="KeywordTok"/>
        </w:rPr>
        <w:t xml:space="preserve">:</w:t>
      </w:r>
      <w:r>
        <w:rPr>
          <w:rStyle w:val="AttributeTok"/>
        </w:rPr>
        <w:t xml:space="preserve"> ${{ secrets.SBOM_STORAGE_ACCOUNT }}</w:t>
      </w:r>
      <w:r>
        <w:br/>
      </w:r>
      <w:r>
        <w:rPr>
          <w:rStyle w:val="AttributeTok"/>
        </w:rPr>
        <w:t xml:space="preserve">          </w:t>
      </w:r>
      <w:r>
        <w:rPr>
          <w:rStyle w:val="FunctionTok"/>
        </w:rPr>
        <w:t xml:space="preserve">AZURE_STORAGE_SAS</w:t>
      </w:r>
      <w:r>
        <w:rPr>
          <w:rStyle w:val="KeywordTok"/>
        </w:rPr>
        <w:t xml:space="preserve">:</w:t>
      </w:r>
      <w:r>
        <w:rPr>
          <w:rStyle w:val="AttributeTok"/>
        </w:rPr>
        <w:t xml:space="preserve"> ${{ secrets.SBOM_STORAGE_SAS }}</w:t>
      </w:r>
      <w:r>
        <w:br/>
      </w:r>
      <w:r>
        <w:rPr>
          <w:rStyle w:val="FunctionTok"/>
        </w:rPr>
        <w:t xml:space="preserve">        run</w:t>
      </w:r>
      <w:r>
        <w:rPr>
          <w:rStyle w:val="KeywordTok"/>
        </w:rPr>
        <w:t xml:space="preserve">: </w:t>
      </w:r>
      <w:r>
        <w:rPr>
          <w:rStyle w:val="CharTok"/>
        </w:rPr>
        <w:t xml:space="preserve">|</w:t>
      </w:r>
      <w:r>
        <w:br/>
      </w:r>
      <w:r>
        <w:rPr>
          <w:rStyle w:val="NormalTok"/>
        </w:rPr>
        <w:t xml:space="preserve">          az storage blob upload \</w:t>
      </w:r>
      <w:r>
        <w:br/>
      </w:r>
      <w:r>
        <w:rPr>
          <w:rStyle w:val="NormalTok"/>
        </w:rPr>
        <w:t xml:space="preserve">            --account-name "$AZURE_STORAGE_ACCOUNT" \</w:t>
      </w:r>
      <w:r>
        <w:br/>
      </w:r>
      <w:r>
        <w:rPr>
          <w:rStyle w:val="NormalTok"/>
        </w:rPr>
        <w:t xml:space="preserve">            --sas-token "$AZURE_STORAGE_SAS" \</w:t>
      </w:r>
      <w:r>
        <w:br/>
      </w:r>
      <w:r>
        <w:rPr>
          <w:rStyle w:val="NormalTok"/>
        </w:rPr>
        <w:t xml:space="preserve">            --container-name sbom-archive \</w:t>
      </w:r>
      <w:r>
        <w:br/>
      </w:r>
      <w:r>
        <w:rPr>
          <w:rStyle w:val="NormalTok"/>
        </w:rPr>
        <w:t xml:space="preserve">            --name "$(date +%Y/%m/%d)/sbom-${{ github.sha }}.xml" \</w:t>
      </w:r>
      <w:r>
        <w:br/>
      </w:r>
      <w:r>
        <w:rPr>
          <w:rStyle w:val="NormalTok"/>
        </w:rPr>
        <w:t xml:space="preserve">            --file sbom-${{ github.sha }}.xml \</w:t>
      </w:r>
      <w:r>
        <w:br/>
      </w:r>
      <w:r>
        <w:rPr>
          <w:rStyle w:val="NormalTok"/>
        </w:rPr>
        <w:t xml:space="preserve">            --tier Archive</w:t>
      </w:r>
    </w:p>
    <w:bookmarkEnd w:id="18"/>
    <w:bookmarkStart w:id="19" w:name="X820fbecca140609b3209e51d8cedf105f62dca9"/>
    <w:p>
      <w:pPr>
        <w:pStyle w:val="Heading3"/>
      </w:pPr>
      <w:r>
        <w:t xml:space="preserve">2.2.2 SBOM Content Requirements (NTIA Minimum Elements)</w:t>
      </w:r>
    </w:p>
    <w:p>
      <w:pPr>
        <w:pStyle w:val="FirstParagraph"/>
      </w:pPr>
      <w:r>
        <w:t xml:space="preserve">The National Telecommunications and Information Administration (NTIA) defines</w:t>
      </w:r>
      <w:r>
        <w:t xml:space="preserve"> </w:t>
      </w:r>
      <w:r>
        <w:t xml:space="preserve">minimum SBOM elements. Syft satisfies all of them automatically:</w:t>
      </w:r>
    </w:p>
    <w:p>
      <w:pPr>
        <w:pStyle w:val="TableCaption"/>
      </w:pPr>
      <w:r>
        <w:t xml:space="preserve">NTIA Minimum SBOM Elements — Syft CycloneDX Coverage</w:t>
      </w:r>
    </w:p>
    <w:tbl>
      <w:tblPr>
        <w:tblStyle w:val="Table"/>
        <w:tblW w:type="pct" w:w="5000"/>
        <w:tblLayout w:type="fixed"/>
        <w:tblLook w:firstRow="1" w:lastRow="0" w:firstColumn="0" w:lastColumn="0" w:noHBand="0" w:noVBand="0" w:val="0020"/>
        <w:tblCaption w:val="NTIA Minimum SBOM Elements — Syft CycloneDX Coverage"/>
      </w:tblPr>
      <w:tblGrid>
        <w:gridCol w:w="2640"/>
        <w:gridCol w:w="2640"/>
        <w:gridCol w:w="2640"/>
      </w:tblGrid>
      <w:tr>
        <w:trPr>
          <w:tblHeader w:val="on"/>
        </w:trPr>
        <w:tc>
          <w:tcPr/>
          <w:p>
            <w:pPr>
              <w:pStyle w:val="Compact"/>
            </w:pPr>
            <w:r>
              <w:t xml:space="preserve">NTIA Element</w:t>
            </w:r>
          </w:p>
        </w:tc>
        <w:tc>
          <w:tcPr/>
          <w:p>
            <w:pPr>
              <w:pStyle w:val="Compact"/>
            </w:pPr>
            <w:r>
              <w:t xml:space="preserve">CycloneDX Field</w:t>
            </w:r>
          </w:p>
        </w:tc>
        <w:tc>
          <w:tcPr/>
          <w:p>
            <w:pPr>
              <w:pStyle w:val="Compact"/>
            </w:pPr>
            <w:r>
              <w:t xml:space="preserve">Syft Output</w:t>
            </w:r>
          </w:p>
        </w:tc>
      </w:tr>
      <w:tr>
        <w:tc>
          <w:tcPr/>
          <w:p>
            <w:pPr>
              <w:pStyle w:val="Compact"/>
            </w:pPr>
            <w:r>
              <w:t xml:space="preserve">Supplier name</w:t>
            </w:r>
          </w:p>
        </w:tc>
        <w:tc>
          <w:tcPr/>
          <w:p>
            <w:pPr>
              <w:pStyle w:val="Compact"/>
            </w:pPr>
            <w:r>
              <w:rPr>
                <w:rStyle w:val="VerbatimChar"/>
              </w:rPr>
              <w:t xml:space="preserve">supplier.name</w:t>
            </w:r>
          </w:p>
        </w:tc>
        <w:tc>
          <w:tcPr/>
          <w:p>
            <w:pPr>
              <w:pStyle w:val="Compact"/>
            </w:pPr>
            <w:r>
              <w:t xml:space="preserve">Extracted from package metadata</w:t>
            </w:r>
          </w:p>
        </w:tc>
      </w:tr>
      <w:tr>
        <w:tc>
          <w:tcPr/>
          <w:p>
            <w:pPr>
              <w:pStyle w:val="Compact"/>
            </w:pPr>
            <w:r>
              <w:t xml:space="preserve">Component name</w:t>
            </w:r>
          </w:p>
        </w:tc>
        <w:tc>
          <w:tcPr/>
          <w:p>
            <w:pPr>
              <w:pStyle w:val="Compact"/>
            </w:pPr>
            <w:r>
              <w:rPr>
                <w:rStyle w:val="VerbatimChar"/>
              </w:rPr>
              <w:t xml:space="preserve">component.name</w:t>
            </w:r>
          </w:p>
        </w:tc>
        <w:tc>
          <w:tcPr/>
          <w:p>
            <w:pPr>
              <w:pStyle w:val="Compact"/>
            </w:pPr>
            <w:r>
              <w:t xml:space="preserve">Package name</w:t>
            </w:r>
          </w:p>
        </w:tc>
      </w:tr>
      <w:tr>
        <w:tc>
          <w:tcPr/>
          <w:p>
            <w:pPr>
              <w:pStyle w:val="Compact"/>
            </w:pPr>
            <w:r>
              <w:t xml:space="preserve">Version</w:t>
            </w:r>
          </w:p>
        </w:tc>
        <w:tc>
          <w:tcPr/>
          <w:p>
            <w:pPr>
              <w:pStyle w:val="Compact"/>
            </w:pPr>
            <w:r>
              <w:rPr>
                <w:rStyle w:val="VerbatimChar"/>
              </w:rPr>
              <w:t xml:space="preserve">component.version</w:t>
            </w:r>
          </w:p>
        </w:tc>
        <w:tc>
          <w:tcPr/>
          <w:p>
            <w:pPr>
              <w:pStyle w:val="Compact"/>
            </w:pPr>
            <w:r>
              <w:t xml:space="preserve">Exact version string</w:t>
            </w:r>
          </w:p>
        </w:tc>
      </w:tr>
      <w:tr>
        <w:tc>
          <w:tcPr/>
          <w:p>
            <w:pPr>
              <w:pStyle w:val="Compact"/>
            </w:pPr>
            <w:r>
              <w:t xml:space="preserve">Other unique identifiers</w:t>
            </w:r>
          </w:p>
        </w:tc>
        <w:tc>
          <w:tcPr/>
          <w:p>
            <w:pPr>
              <w:pStyle w:val="Compact"/>
            </w:pPr>
            <w:r>
              <w:rPr>
                <w:rStyle w:val="VerbatimChar"/>
              </w:rPr>
              <w:t xml:space="preserve">component.purl</w:t>
            </w:r>
          </w:p>
        </w:tc>
        <w:tc>
          <w:tcPr/>
          <w:p>
            <w:pPr>
              <w:pStyle w:val="Compact"/>
            </w:pPr>
            <w:r>
              <w:t xml:space="preserve">Package URL (PURL) — unique per version</w:t>
            </w:r>
          </w:p>
        </w:tc>
      </w:tr>
      <w:tr>
        <w:tc>
          <w:tcPr/>
          <w:p>
            <w:pPr>
              <w:pStyle w:val="Compact"/>
            </w:pPr>
            <w:r>
              <w:t xml:space="preserve">Dependency relationships</w:t>
            </w:r>
          </w:p>
        </w:tc>
        <w:tc>
          <w:tcPr/>
          <w:p>
            <w:pPr>
              <w:pStyle w:val="Compact"/>
            </w:pPr>
            <w:r>
              <w:rPr>
                <w:rStyle w:val="VerbatimChar"/>
              </w:rPr>
              <w:t xml:space="preserve">dependencies</w:t>
            </w:r>
          </w:p>
        </w:tc>
        <w:tc>
          <w:tcPr/>
          <w:p>
            <w:pPr>
              <w:pStyle w:val="Compact"/>
            </w:pPr>
            <w:r>
              <w:t xml:space="preserve">Full dependency graph</w:t>
            </w:r>
          </w:p>
        </w:tc>
      </w:tr>
      <w:tr>
        <w:tc>
          <w:tcPr/>
          <w:p>
            <w:pPr>
              <w:pStyle w:val="Compact"/>
            </w:pPr>
            <w:r>
              <w:t xml:space="preserve">SBOM author</w:t>
            </w:r>
          </w:p>
        </w:tc>
        <w:tc>
          <w:tcPr/>
          <w:p>
            <w:pPr>
              <w:pStyle w:val="Compact"/>
            </w:pPr>
            <w:r>
              <w:rPr>
                <w:rStyle w:val="VerbatimChar"/>
              </w:rPr>
              <w:t xml:space="preserve">metadata.author</w:t>
            </w:r>
          </w:p>
        </w:tc>
        <w:tc>
          <w:tcPr/>
          <w:p>
            <w:pPr>
              <w:pStyle w:val="Compact"/>
            </w:pPr>
            <w:r>
              <w:t xml:space="preserve">Set from CI environment</w:t>
            </w:r>
          </w:p>
        </w:tc>
      </w:tr>
      <w:tr>
        <w:tc>
          <w:tcPr/>
          <w:p>
            <w:pPr>
              <w:pStyle w:val="Compact"/>
            </w:pPr>
            <w:r>
              <w:t xml:space="preserve">Timestamp</w:t>
            </w:r>
          </w:p>
        </w:tc>
        <w:tc>
          <w:tcPr/>
          <w:p>
            <w:pPr>
              <w:pStyle w:val="Compact"/>
            </w:pPr>
            <w:r>
              <w:rPr>
                <w:rStyle w:val="VerbatimChar"/>
              </w:rPr>
              <w:t xml:space="preserve">metadata.timestamp</w:t>
            </w:r>
          </w:p>
        </w:tc>
        <w:tc>
          <w:tcPr/>
          <w:p>
            <w:pPr>
              <w:pStyle w:val="Compact"/>
            </w:pPr>
            <w:r>
              <w:t xml:space="preserve">UTC build timestamp</w:t>
            </w:r>
          </w:p>
        </w:tc>
      </w:tr>
    </w:tbl>
    <w:p>
      <w:r>
        <w:pict>
          <v:rect style="width:0;height:1.5pt" o:hralign="center" o:hrstd="t" o:hr="t"/>
        </w:pict>
      </w:r>
    </w:p>
    <w:bookmarkEnd w:id="19"/>
    <w:bookmarkEnd w:id="20"/>
    <w:bookmarkEnd w:id="21"/>
    <w:bookmarkStart w:id="24" w:name="vulnerability-disclosure-report-vdr"/>
    <w:p>
      <w:pPr>
        <w:pStyle w:val="Heading1"/>
      </w:pPr>
      <w:r>
        <w:t xml:space="preserve">3. Vulnerability Disclosure Report (VDR)</w:t>
      </w:r>
    </w:p>
    <w:p>
      <w:pPr>
        <w:pStyle w:val="FirstParagraph"/>
      </w:pPr>
      <w:r>
        <w:t xml:space="preserve">The VDR is a machine-readable enumeration of all CVEs affecting components in</w:t>
      </w:r>
      <w:r>
        <w:t xml:space="preserve"> </w:t>
      </w:r>
      <w:r>
        <w:t xml:space="preserve">the SBOM. Grype (Anchore) takes the CycloneDX SBOM as input and produces a</w:t>
      </w:r>
      <w:r>
        <w:t xml:space="preserve"> </w:t>
      </w:r>
      <w:r>
        <w:t xml:space="preserve">CycloneDX VDR with NVD-sourced CVE data.</w:t>
      </w:r>
    </w:p>
    <w:bookmarkStart w:id="22" w:name="vdr-fields"/>
    <w:p>
      <w:pPr>
        <w:pStyle w:val="Heading2"/>
      </w:pPr>
      <w:r>
        <w:t xml:space="preserve">3.1 VDR Fields</w:t>
      </w:r>
    </w:p>
    <w:p>
      <w:pPr>
        <w:pStyle w:val="SourceCode"/>
      </w:pPr>
      <w:r>
        <w:rPr>
          <w:rStyle w:val="CommentTok"/>
        </w:rPr>
        <w:t xml:space="preserve">&lt;!-- Example CycloneDX 1.6 VDR entry --&gt;</w:t>
      </w:r>
      <w:r>
        <w:br/>
      </w:r>
      <w:r>
        <w:rPr>
          <w:rStyle w:val="NormalTok"/>
        </w:rPr>
        <w:t xml:space="preserve">&lt;</w:t>
      </w:r>
      <w:r>
        <w:rPr>
          <w:rStyle w:val="KeywordTok"/>
        </w:rPr>
        <w:t xml:space="preserve">vulnerability</w:t>
      </w:r>
      <w:r>
        <w:rPr>
          <w:rStyle w:val="NormalTok"/>
        </w:rPr>
        <w:t xml:space="preserve">&gt;</w:t>
      </w:r>
      <w:r>
        <w:br/>
      </w:r>
      <w:r>
        <w:rPr>
          <w:rStyle w:val="NormalTok"/>
        </w:rPr>
        <w:t xml:space="preserve">  &lt;</w:t>
      </w:r>
      <w:r>
        <w:rPr>
          <w:rStyle w:val="KeywordTok"/>
        </w:rPr>
        <w:t xml:space="preserve">id</w:t>
      </w:r>
      <w:r>
        <w:rPr>
          <w:rStyle w:val="NormalTok"/>
        </w:rPr>
        <w:t xml:space="preserve">&gt;CVE-2024-12345&lt;/</w:t>
      </w:r>
      <w:r>
        <w:rPr>
          <w:rStyle w:val="KeywordTok"/>
        </w:rPr>
        <w:t xml:space="preserve">id</w:t>
      </w:r>
      <w:r>
        <w:rPr>
          <w:rStyle w:val="NormalTok"/>
        </w:rPr>
        <w:t xml:space="preserve">&gt;</w:t>
      </w:r>
      <w:r>
        <w:br/>
      </w:r>
      <w:r>
        <w:rPr>
          <w:rStyle w:val="NormalTok"/>
        </w:rPr>
        <w:t xml:space="preserve">  &lt;</w:t>
      </w:r>
      <w:r>
        <w:rPr>
          <w:rStyle w:val="KeywordTok"/>
        </w:rPr>
        <w:t xml:space="preserve">source</w:t>
      </w:r>
      <w:r>
        <w:rPr>
          <w:rStyle w:val="NormalTok"/>
        </w:rPr>
        <w:t xml:space="preserve">&gt;</w:t>
      </w:r>
      <w:r>
        <w:br/>
      </w:r>
      <w:r>
        <w:rPr>
          <w:rStyle w:val="NormalTok"/>
        </w:rPr>
        <w:t xml:space="preserve">    &lt;</w:t>
      </w:r>
      <w:r>
        <w:rPr>
          <w:rStyle w:val="KeywordTok"/>
        </w:rPr>
        <w:t xml:space="preserve">name</w:t>
      </w:r>
      <w:r>
        <w:rPr>
          <w:rStyle w:val="NormalTok"/>
        </w:rPr>
        <w:t xml:space="preserve">&gt;NVD&lt;/</w:t>
      </w:r>
      <w:r>
        <w:rPr>
          <w:rStyle w:val="KeywordTok"/>
        </w:rPr>
        <w:t xml:space="preserve">name</w:t>
      </w:r>
      <w:r>
        <w:rPr>
          <w:rStyle w:val="NormalTok"/>
        </w:rPr>
        <w:t xml:space="preserve">&gt;</w:t>
      </w:r>
      <w:r>
        <w:br/>
      </w:r>
      <w:r>
        <w:rPr>
          <w:rStyle w:val="NormalTok"/>
        </w:rPr>
        <w:t xml:space="preserve">    &lt;</w:t>
      </w:r>
      <w:r>
        <w:rPr>
          <w:rStyle w:val="KeywordTok"/>
        </w:rPr>
        <w:t xml:space="preserve">url</w:t>
      </w:r>
      <w:r>
        <w:rPr>
          <w:rStyle w:val="NormalTok"/>
        </w:rPr>
        <w:t xml:space="preserve">&gt;https://nvd.nist.gov/vuln/detail/CVE-2024-12345&lt;/</w:t>
      </w:r>
      <w:r>
        <w:rPr>
          <w:rStyle w:val="KeywordTok"/>
        </w:rPr>
        <w:t xml:space="preserve">url</w:t>
      </w:r>
      <w:r>
        <w:rPr>
          <w:rStyle w:val="NormalTok"/>
        </w:rPr>
        <w:t xml:space="preserve">&gt;</w:t>
      </w:r>
      <w:r>
        <w:br/>
      </w:r>
      <w:r>
        <w:rPr>
          <w:rStyle w:val="NormalTok"/>
        </w:rPr>
        <w:t xml:space="preserve">  &lt;/</w:t>
      </w:r>
      <w:r>
        <w:rPr>
          <w:rStyle w:val="KeywordTok"/>
        </w:rPr>
        <w:t xml:space="preserve">source</w:t>
      </w:r>
      <w:r>
        <w:rPr>
          <w:rStyle w:val="NormalTok"/>
        </w:rPr>
        <w:t xml:space="preserve">&gt;</w:t>
      </w:r>
      <w:r>
        <w:br/>
      </w:r>
      <w:r>
        <w:rPr>
          <w:rStyle w:val="NormalTok"/>
        </w:rPr>
        <w:t xml:space="preserve">  &lt;</w:t>
      </w:r>
      <w:r>
        <w:rPr>
          <w:rStyle w:val="KeywordTok"/>
        </w:rPr>
        <w:t xml:space="preserve">ratings</w:t>
      </w:r>
      <w:r>
        <w:rPr>
          <w:rStyle w:val="NormalTok"/>
        </w:rPr>
        <w:t xml:space="preserve">&gt;</w:t>
      </w:r>
      <w:r>
        <w:br/>
      </w:r>
      <w:r>
        <w:rPr>
          <w:rStyle w:val="NormalTok"/>
        </w:rPr>
        <w:t xml:space="preserve">    &lt;</w:t>
      </w:r>
      <w:r>
        <w:rPr>
          <w:rStyle w:val="KeywordTok"/>
        </w:rPr>
        <w:t xml:space="preserve">rating</w:t>
      </w:r>
      <w:r>
        <w:rPr>
          <w:rStyle w:val="NormalTok"/>
        </w:rPr>
        <w:t xml:space="preserve">&gt;</w:t>
      </w:r>
      <w:r>
        <w:br/>
      </w:r>
      <w:r>
        <w:rPr>
          <w:rStyle w:val="NormalTok"/>
        </w:rPr>
        <w:t xml:space="preserve">      &lt;</w:t>
      </w:r>
      <w:r>
        <w:rPr>
          <w:rStyle w:val="KeywordTok"/>
        </w:rPr>
        <w:t xml:space="preserve">score</w:t>
      </w:r>
      <w:r>
        <w:rPr>
          <w:rStyle w:val="NormalTok"/>
        </w:rPr>
        <w:t xml:space="preserve">&gt;</w:t>
      </w:r>
      <w:r>
        <w:br/>
      </w:r>
      <w:r>
        <w:rPr>
          <w:rStyle w:val="NormalTok"/>
        </w:rPr>
        <w:t xml:space="preserve">        &lt;</w:t>
      </w:r>
      <w:r>
        <w:rPr>
          <w:rStyle w:val="KeywordTok"/>
        </w:rPr>
        <w:t xml:space="preserve">base</w:t>
      </w:r>
      <w:r>
        <w:rPr>
          <w:rStyle w:val="NormalTok"/>
        </w:rPr>
        <w:t xml:space="preserve">&gt;9.8&lt;/</w:t>
      </w:r>
      <w:r>
        <w:rPr>
          <w:rStyle w:val="KeywordTok"/>
        </w:rPr>
        <w:t xml:space="preserve">base</w:t>
      </w:r>
      <w:r>
        <w:rPr>
          <w:rStyle w:val="NormalTok"/>
        </w:rPr>
        <w:t xml:space="preserve">&gt;</w:t>
      </w:r>
      <w:r>
        <w:br/>
      </w:r>
      <w:r>
        <w:rPr>
          <w:rStyle w:val="NormalTok"/>
        </w:rPr>
        <w:t xml:space="preserve">        &lt;</w:t>
      </w:r>
      <w:r>
        <w:rPr>
          <w:rStyle w:val="KeywordTok"/>
        </w:rPr>
        <w:t xml:space="preserve">vector</w:t>
      </w:r>
      <w:r>
        <w:rPr>
          <w:rStyle w:val="NormalTok"/>
        </w:rPr>
        <w:t xml:space="preserve">&gt;CVSS:3.1/AV:N/AC:L/PR:N/UI:N/S:U/C:H/I:H/A:H&lt;/</w:t>
      </w:r>
      <w:r>
        <w:rPr>
          <w:rStyle w:val="KeywordTok"/>
        </w:rPr>
        <w:t xml:space="preserve">vector</w:t>
      </w:r>
      <w:r>
        <w:rPr>
          <w:rStyle w:val="NormalTok"/>
        </w:rPr>
        <w:t xml:space="preserve">&gt;</w:t>
      </w:r>
      <w:r>
        <w:br/>
      </w:r>
      <w:r>
        <w:rPr>
          <w:rStyle w:val="NormalTok"/>
        </w:rPr>
        <w:t xml:space="preserve">      &lt;/</w:t>
      </w:r>
      <w:r>
        <w:rPr>
          <w:rStyle w:val="KeywordTok"/>
        </w:rPr>
        <w:t xml:space="preserve">score</w:t>
      </w:r>
      <w:r>
        <w:rPr>
          <w:rStyle w:val="NormalTok"/>
        </w:rPr>
        <w:t xml:space="preserve">&gt;</w:t>
      </w:r>
      <w:r>
        <w:br/>
      </w:r>
      <w:r>
        <w:rPr>
          <w:rStyle w:val="NormalTok"/>
        </w:rPr>
        <w:t xml:space="preserve">      &lt;</w:t>
      </w:r>
      <w:r>
        <w:rPr>
          <w:rStyle w:val="KeywordTok"/>
        </w:rPr>
        <w:t xml:space="preserve">severity</w:t>
      </w:r>
      <w:r>
        <w:rPr>
          <w:rStyle w:val="NormalTok"/>
        </w:rPr>
        <w:t xml:space="preserve">&gt;critical&lt;/</w:t>
      </w:r>
      <w:r>
        <w:rPr>
          <w:rStyle w:val="KeywordTok"/>
        </w:rPr>
        <w:t xml:space="preserve">severity</w:t>
      </w:r>
      <w:r>
        <w:rPr>
          <w:rStyle w:val="NormalTok"/>
        </w:rPr>
        <w:t xml:space="preserve">&gt;</w:t>
      </w:r>
      <w:r>
        <w:br/>
      </w:r>
      <w:r>
        <w:rPr>
          <w:rStyle w:val="NormalTok"/>
        </w:rPr>
        <w:t xml:space="preserve">      &lt;</w:t>
      </w:r>
      <w:r>
        <w:rPr>
          <w:rStyle w:val="KeywordTok"/>
        </w:rPr>
        <w:t xml:space="preserve">method</w:t>
      </w:r>
      <w:r>
        <w:rPr>
          <w:rStyle w:val="NormalTok"/>
        </w:rPr>
        <w:t xml:space="preserve">&gt;CVSSv31&lt;/</w:t>
      </w:r>
      <w:r>
        <w:rPr>
          <w:rStyle w:val="KeywordTok"/>
        </w:rPr>
        <w:t xml:space="preserve">method</w:t>
      </w:r>
      <w:r>
        <w:rPr>
          <w:rStyle w:val="NormalTok"/>
        </w:rPr>
        <w:t xml:space="preserve">&gt;</w:t>
      </w:r>
      <w:r>
        <w:br/>
      </w:r>
      <w:r>
        <w:rPr>
          <w:rStyle w:val="NormalTok"/>
        </w:rPr>
        <w:t xml:space="preserve">    &lt;/</w:t>
      </w:r>
      <w:r>
        <w:rPr>
          <w:rStyle w:val="KeywordTok"/>
        </w:rPr>
        <w:t xml:space="preserve">rating</w:t>
      </w:r>
      <w:r>
        <w:rPr>
          <w:rStyle w:val="NormalTok"/>
        </w:rPr>
        <w:t xml:space="preserve">&gt;</w:t>
      </w:r>
      <w:r>
        <w:br/>
      </w:r>
      <w:r>
        <w:rPr>
          <w:rStyle w:val="NormalTok"/>
        </w:rPr>
        <w:t xml:space="preserve">  &lt;/</w:t>
      </w:r>
      <w:r>
        <w:rPr>
          <w:rStyle w:val="KeywordTok"/>
        </w:rPr>
        <w:t xml:space="preserve">ratings</w:t>
      </w:r>
      <w:r>
        <w:rPr>
          <w:rStyle w:val="NormalTok"/>
        </w:rPr>
        <w:t xml:space="preserve">&gt;</w:t>
      </w:r>
      <w:r>
        <w:br/>
      </w:r>
      <w:r>
        <w:rPr>
          <w:rStyle w:val="NormalTok"/>
        </w:rPr>
        <w:t xml:space="preserve">  &lt;</w:t>
      </w:r>
      <w:r>
        <w:rPr>
          <w:rStyle w:val="KeywordTok"/>
        </w:rPr>
        <w:t xml:space="preserve">affects</w:t>
      </w:r>
      <w:r>
        <w:rPr>
          <w:rStyle w:val="NormalTok"/>
        </w:rPr>
        <w:t xml:space="preserve">&gt;</w:t>
      </w:r>
      <w:r>
        <w:br/>
      </w:r>
      <w:r>
        <w:rPr>
          <w:rStyle w:val="NormalTok"/>
        </w:rPr>
        <w:t xml:space="preserve">    &lt;</w:t>
      </w:r>
      <w:r>
        <w:rPr>
          <w:rStyle w:val="KeywordTok"/>
        </w:rPr>
        <w:t xml:space="preserve">target</w:t>
      </w:r>
      <w:r>
        <w:rPr>
          <w:rStyle w:val="NormalTok"/>
        </w:rPr>
        <w:t xml:space="preserve">&gt;</w:t>
      </w:r>
      <w:r>
        <w:br/>
      </w:r>
      <w:r>
        <w:rPr>
          <w:rStyle w:val="NormalTok"/>
        </w:rPr>
        <w:t xml:space="preserve">      &lt;</w:t>
      </w:r>
      <w:r>
        <w:rPr>
          <w:rStyle w:val="KeywordTok"/>
        </w:rPr>
        <w:t xml:space="preserve">ref</w:t>
      </w:r>
      <w:r>
        <w:rPr>
          <w:rStyle w:val="NormalTok"/>
        </w:rPr>
        <w:t xml:space="preserve">&gt;urn:cdx:package-purl/pkg:pypi/requests@2.28.0&lt;/</w:t>
      </w:r>
      <w:r>
        <w:rPr>
          <w:rStyle w:val="KeywordTok"/>
        </w:rPr>
        <w:t xml:space="preserve">ref</w:t>
      </w:r>
      <w:r>
        <w:rPr>
          <w:rStyle w:val="NormalTok"/>
        </w:rPr>
        <w:t xml:space="preserve">&gt;</w:t>
      </w:r>
      <w:r>
        <w:br/>
      </w:r>
      <w:r>
        <w:rPr>
          <w:rStyle w:val="NormalTok"/>
        </w:rPr>
        <w:t xml:space="preserve">    &lt;/</w:t>
      </w:r>
      <w:r>
        <w:rPr>
          <w:rStyle w:val="KeywordTok"/>
        </w:rPr>
        <w:t xml:space="preserve">target</w:t>
      </w:r>
      <w:r>
        <w:rPr>
          <w:rStyle w:val="NormalTok"/>
        </w:rPr>
        <w:t xml:space="preserve">&gt;</w:t>
      </w:r>
      <w:r>
        <w:br/>
      </w:r>
      <w:r>
        <w:rPr>
          <w:rStyle w:val="NormalTok"/>
        </w:rPr>
        <w:t xml:space="preserve">  &lt;/</w:t>
      </w:r>
      <w:r>
        <w:rPr>
          <w:rStyle w:val="KeywordTok"/>
        </w:rPr>
        <w:t xml:space="preserve">affects</w:t>
      </w:r>
      <w:r>
        <w:rPr>
          <w:rStyle w:val="NormalTok"/>
        </w:rPr>
        <w:t xml:space="preserve">&gt;</w:t>
      </w:r>
      <w:r>
        <w:br/>
      </w:r>
      <w:r>
        <w:rPr>
          <w:rStyle w:val="NormalTok"/>
        </w:rPr>
        <w:t xml:space="preserve">  &lt;</w:t>
      </w:r>
      <w:r>
        <w:rPr>
          <w:rStyle w:val="KeywordTok"/>
        </w:rPr>
        <w:t xml:space="preserve">analysis</w:t>
      </w:r>
      <w:r>
        <w:rPr>
          <w:rStyle w:val="NormalTok"/>
        </w:rPr>
        <w:t xml:space="preserve">&gt;</w:t>
      </w:r>
      <w:r>
        <w:br/>
      </w:r>
      <w:r>
        <w:rPr>
          <w:rStyle w:val="NormalTok"/>
        </w:rPr>
        <w:t xml:space="preserve">    &lt;</w:t>
      </w:r>
      <w:r>
        <w:rPr>
          <w:rStyle w:val="KeywordTok"/>
        </w:rPr>
        <w:t xml:space="preserve">state</w:t>
      </w:r>
      <w:r>
        <w:rPr>
          <w:rStyle w:val="NormalTok"/>
        </w:rPr>
        <w:t xml:space="preserve">&gt;exploitable&lt;/</w:t>
      </w:r>
      <w:r>
        <w:rPr>
          <w:rStyle w:val="KeywordTok"/>
        </w:rPr>
        <w:t xml:space="preserve">state</w:t>
      </w:r>
      <w:r>
        <w:rPr>
          <w:rStyle w:val="NormalTok"/>
        </w:rPr>
        <w:t xml:space="preserve">&gt;</w:t>
      </w:r>
      <w:r>
        <w:br/>
      </w:r>
      <w:r>
        <w:rPr>
          <w:rStyle w:val="NormalTok"/>
        </w:rPr>
        <w:t xml:space="preserve">    &lt;</w:t>
      </w:r>
      <w:r>
        <w:rPr>
          <w:rStyle w:val="KeywordTok"/>
        </w:rPr>
        <w:t xml:space="preserve">detail</w:t>
      </w:r>
      <w:r>
        <w:rPr>
          <w:rStyle w:val="NormalTok"/>
        </w:rPr>
        <w:t xml:space="preserve">&gt;Network-accessible API endpoint uses this version&lt;/</w:t>
      </w:r>
      <w:r>
        <w:rPr>
          <w:rStyle w:val="KeywordTok"/>
        </w:rPr>
        <w:t xml:space="preserve">detail</w:t>
      </w:r>
      <w:r>
        <w:rPr>
          <w:rStyle w:val="NormalTok"/>
        </w:rPr>
        <w:t xml:space="preserve">&gt;</w:t>
      </w:r>
      <w:r>
        <w:br/>
      </w:r>
      <w:r>
        <w:rPr>
          <w:rStyle w:val="NormalTok"/>
        </w:rPr>
        <w:t xml:space="preserve">    &lt;</w:t>
      </w:r>
      <w:r>
        <w:rPr>
          <w:rStyle w:val="KeywordTok"/>
        </w:rPr>
        <w:t xml:space="preserve">response</w:t>
      </w:r>
      <w:r>
        <w:rPr>
          <w:rStyle w:val="NormalTok"/>
        </w:rPr>
        <w:t xml:space="preserve">&gt;patch_available&lt;/</w:t>
      </w:r>
      <w:r>
        <w:rPr>
          <w:rStyle w:val="KeywordTok"/>
        </w:rPr>
        <w:t xml:space="preserve">response</w:t>
      </w:r>
      <w:r>
        <w:rPr>
          <w:rStyle w:val="NormalTok"/>
        </w:rPr>
        <w:t xml:space="preserve">&gt;</w:t>
      </w:r>
      <w:r>
        <w:br/>
      </w:r>
      <w:r>
        <w:rPr>
          <w:rStyle w:val="NormalTok"/>
        </w:rPr>
        <w:t xml:space="preserve">  &lt;/</w:t>
      </w:r>
      <w:r>
        <w:rPr>
          <w:rStyle w:val="KeywordTok"/>
        </w:rPr>
        <w:t xml:space="preserve">analysis</w:t>
      </w:r>
      <w:r>
        <w:rPr>
          <w:rStyle w:val="NormalTok"/>
        </w:rPr>
        <w:t xml:space="preserve">&gt;</w:t>
      </w:r>
      <w:r>
        <w:br/>
      </w:r>
      <w:r>
        <w:rPr>
          <w:rStyle w:val="NormalTok"/>
        </w:rPr>
        <w:t xml:space="preserve">&lt;/</w:t>
      </w:r>
      <w:r>
        <w:rPr>
          <w:rStyle w:val="KeywordTok"/>
        </w:rPr>
        <w:t xml:space="preserve">vulnerability</w:t>
      </w:r>
      <w:r>
        <w:rPr>
          <w:rStyle w:val="NormalTok"/>
        </w:rPr>
        <w:t xml:space="preserve">&gt;</w:t>
      </w:r>
    </w:p>
    <w:bookmarkEnd w:id="22"/>
    <w:bookmarkStart w:id="23" w:name="cisa-kev-integration"/>
    <w:p>
      <w:pPr>
        <w:pStyle w:val="Heading2"/>
      </w:pPr>
      <w:r>
        <w:t xml:space="preserve">3.2 CISA KEV Integration</w:t>
      </w:r>
    </w:p>
    <w:p>
      <w:pPr>
        <w:pStyle w:val="FirstParagraph"/>
      </w:pPr>
      <w:r>
        <w:t xml:space="preserve">The VDR pipeline integrates with the CISA Known Exploited Vulnerabilities (KEV)</w:t>
      </w:r>
      <w:r>
        <w:t xml:space="preserve"> </w:t>
      </w:r>
      <w:r>
        <w:t xml:space="preserve">catalog. Any CVE in the SBOM that appears in the KEV catalog is automatically</w:t>
      </w:r>
      <w:r>
        <w:t xml:space="preserve"> </w:t>
      </w:r>
      <w:r>
        <w:t xml:space="preserve">escalated to P0 — 14-day remediation SLA per BOD 22-01.</w:t>
      </w:r>
    </w:p>
    <w:p>
      <w:pPr>
        <w:pStyle w:val="SourceCode"/>
      </w:pPr>
      <w:r>
        <w:rPr>
          <w:rStyle w:val="CommentTok"/>
        </w:rPr>
        <w:t xml:space="preserve"># scripts/kev_triage.py — CI step after VDR generation</w:t>
      </w:r>
      <w:r>
        <w:br/>
      </w:r>
      <w:r>
        <w:rPr>
          <w:rStyle w:val="ImportTok"/>
        </w:rPr>
        <w:t xml:space="preserve">import</w:t>
      </w:r>
      <w:r>
        <w:rPr>
          <w:rStyle w:val="NormalTok"/>
        </w:rPr>
        <w:t xml:space="preserve"> json, requests</w:t>
      </w:r>
      <w:r>
        <w:br/>
      </w:r>
      <w:r>
        <w:br/>
      </w:r>
      <w:r>
        <w:rPr>
          <w:rStyle w:val="NormalTok"/>
        </w:rPr>
        <w:t xml:space="preserve">KEV_URL </w:t>
      </w:r>
      <w:r>
        <w:rPr>
          <w:rStyle w:val="OperatorTok"/>
        </w:rPr>
        <w:t xml:space="preserve">=</w:t>
      </w:r>
      <w:r>
        <w:rPr>
          <w:rStyle w:val="NormalTok"/>
        </w:rPr>
        <w:t xml:space="preserve"> </w:t>
      </w:r>
      <w:r>
        <w:rPr>
          <w:rStyle w:val="StringTok"/>
        </w:rPr>
        <w:t xml:space="preserve">"https://www.cisa.gov/sites/default/files/feeds/known_exploited_vulnerabilities.json"</w:t>
      </w:r>
      <w:r>
        <w:br/>
      </w:r>
      <w:r>
        <w:br/>
      </w:r>
      <w:r>
        <w:rPr>
          <w:rStyle w:val="KeywordTok"/>
        </w:rPr>
        <w:t xml:space="preserve">def</w:t>
      </w:r>
      <w:r>
        <w:rPr>
          <w:rStyle w:val="NormalTok"/>
        </w:rPr>
        <w:t xml:space="preserve"> triage_against_kev(vdr_path: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kev </w:t>
      </w:r>
      <w:r>
        <w:rPr>
          <w:rStyle w:val="OperatorTok"/>
        </w:rPr>
        <w:t xml:space="preserve">=</w:t>
      </w:r>
      <w:r>
        <w:rPr>
          <w:rStyle w:val="NormalTok"/>
        </w:rPr>
        <w:t xml:space="preserve"> {e[</w:t>
      </w:r>
      <w:r>
        <w:rPr>
          <w:rStyle w:val="StringTok"/>
        </w:rPr>
        <w:t xml:space="preserve">"cveID"</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requests.get(KEV_URL).json()[</w:t>
      </w:r>
      <w:r>
        <w:rPr>
          <w:rStyle w:val="StringTok"/>
        </w:rPr>
        <w:t xml:space="preserve">"vulnerabilities"</w:t>
      </w:r>
      <w:r>
        <w:rPr>
          <w:rStyle w:val="NormalTok"/>
        </w:rPr>
        <w:t xml:space="preserve">]}</w:t>
      </w:r>
      <w:r>
        <w:br/>
      </w:r>
      <w:r>
        <w:rPr>
          <w:rStyle w:val="NormalTok"/>
        </w:rPr>
        <w:t xml:space="preserve">    vdr </w:t>
      </w:r>
      <w:r>
        <w:rPr>
          <w:rStyle w:val="OperatorTok"/>
        </w:rPr>
        <w:t xml:space="preserve">=</w:t>
      </w:r>
      <w:r>
        <w:rPr>
          <w:rStyle w:val="NormalTok"/>
        </w:rPr>
        <w:t xml:space="preserve"> json.loads(</w:t>
      </w:r>
      <w:r>
        <w:rPr>
          <w:rStyle w:val="BuiltInTok"/>
        </w:rPr>
        <w:t xml:space="preserve">open</w:t>
      </w:r>
      <w:r>
        <w:rPr>
          <w:rStyle w:val="NormalTok"/>
        </w:rPr>
        <w:t xml:space="preserve">(vdr_path).read())</w:t>
      </w:r>
      <w:r>
        <w:br/>
      </w:r>
      <w:r>
        <w:rPr>
          <w:rStyle w:val="NormalTok"/>
        </w:rPr>
        <w:t xml:space="preserve">    escalations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vuln </w:t>
      </w:r>
      <w:r>
        <w:rPr>
          <w:rStyle w:val="KeywordTok"/>
        </w:rPr>
        <w:t xml:space="preserve">in</w:t>
      </w:r>
      <w:r>
        <w:rPr>
          <w:rStyle w:val="NormalTok"/>
        </w:rPr>
        <w:t xml:space="preserve"> vdr.get(</w:t>
      </w:r>
      <w:r>
        <w:rPr>
          <w:rStyle w:val="StringTok"/>
        </w:rPr>
        <w:t xml:space="preserve">"vulnerabilities"</w:t>
      </w:r>
      <w:r>
        <w:rPr>
          <w:rStyle w:val="NormalTok"/>
        </w:rPr>
        <w:t xml:space="preserve">, []):</w:t>
      </w:r>
      <w:r>
        <w:br/>
      </w:r>
      <w:r>
        <w:rPr>
          <w:rStyle w:val="NormalTok"/>
        </w:rPr>
        <w:t xml:space="preserve">        cve_id </w:t>
      </w:r>
      <w:r>
        <w:rPr>
          <w:rStyle w:val="OperatorTok"/>
        </w:rPr>
        <w:t xml:space="preserve">=</w:t>
      </w:r>
      <w:r>
        <w:rPr>
          <w:rStyle w:val="NormalTok"/>
        </w:rPr>
        <w:t xml:space="preserve"> vuln.get(</w:t>
      </w:r>
      <w:r>
        <w:rPr>
          <w:rStyle w:val="StringTok"/>
        </w:rPr>
        <w:t xml:space="preserve">"id"</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cve_id </w:t>
      </w:r>
      <w:r>
        <w:rPr>
          <w:rStyle w:val="KeywordTok"/>
        </w:rPr>
        <w:t xml:space="preserve">in</w:t>
      </w:r>
      <w:r>
        <w:rPr>
          <w:rStyle w:val="NormalTok"/>
        </w:rPr>
        <w:t xml:space="preserve"> kev:</w:t>
      </w:r>
      <w:r>
        <w:br/>
      </w:r>
      <w:r>
        <w:rPr>
          <w:rStyle w:val="NormalTok"/>
        </w:rPr>
        <w:t xml:space="preserve">            escalations.append({</w:t>
      </w:r>
      <w:r>
        <w:br/>
      </w:r>
      <w:r>
        <w:rPr>
          <w:rStyle w:val="NormalTok"/>
        </w:rPr>
        <w:t xml:space="preserve">                </w:t>
      </w:r>
      <w:r>
        <w:rPr>
          <w:rStyle w:val="StringTok"/>
        </w:rPr>
        <w:t xml:space="preserve">"cve"</w:t>
      </w:r>
      <w:r>
        <w:rPr>
          <w:rStyle w:val="NormalTok"/>
        </w:rPr>
        <w:t xml:space="preserve">: cve_id,</w:t>
      </w:r>
      <w:r>
        <w:br/>
      </w:r>
      <w:r>
        <w:rPr>
          <w:rStyle w:val="NormalTok"/>
        </w:rPr>
        <w:t xml:space="preserve">                </w:t>
      </w:r>
      <w:r>
        <w:rPr>
          <w:rStyle w:val="StringTok"/>
        </w:rPr>
        <w:t xml:space="preserve">"severity"</w:t>
      </w:r>
      <w:r>
        <w:rPr>
          <w:rStyle w:val="NormalTok"/>
        </w:rPr>
        <w:t xml:space="preserve">: vuln.get(</w:t>
      </w:r>
      <w:r>
        <w:rPr>
          <w:rStyle w:val="StringTok"/>
        </w:rPr>
        <w:t xml:space="preserve">"ratings"</w:t>
      </w:r>
      <w:r>
        <w:rPr>
          <w:rStyle w:val="NormalTok"/>
        </w:rPr>
        <w:t xml:space="preserve">, [{}])[</w:t>
      </w:r>
      <w:r>
        <w:rPr>
          <w:rStyle w:val="DecValTok"/>
        </w:rPr>
        <w:t xml:space="preserve">0</w:t>
      </w:r>
      <w:r>
        <w:rPr>
          <w:rStyle w:val="NormalTok"/>
        </w:rPr>
        <w:t xml:space="preserve">].get(</w:t>
      </w:r>
      <w:r>
        <w:rPr>
          <w:rStyle w:val="StringTok"/>
        </w:rPr>
        <w:t xml:space="preserve">"severity"</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"kev_escalated"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"sla_days"</w:t>
      </w:r>
      <w:r>
        <w:rPr>
          <w:rStyle w:val="NormalTok"/>
        </w:rPr>
        <w:t xml:space="preserve">: </w:t>
      </w:r>
      <w:r>
        <w:rPr>
          <w:rStyle w:val="DecValTok"/>
        </w:rPr>
        <w:t xml:space="preserve">14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escalations</w:t>
      </w:r>
    </w:p>
    <w:p>
      <w:r>
        <w:pict>
          <v:rect style="width:0;height:1.5pt" o:hralign="center" o:hrstd="t" o:hr="t"/>
        </w:pict>
      </w:r>
    </w:p>
    <w:bookmarkEnd w:id="23"/>
    <w:bookmarkEnd w:id="24"/>
    <w:bookmarkStart w:id="31" w:name="X1f0fa402021e89c3afcfce49364de01d7389407"/>
    <w:p>
      <w:pPr>
        <w:pStyle w:val="Heading1"/>
      </w:pPr>
      <w:r>
        <w:t xml:space="preserve">4. Vulnerability Exploitability eXchange (VEX)</w:t>
      </w:r>
    </w:p>
    <w:p>
      <w:pPr>
        <w:pStyle w:val="FirstParagraph"/>
      </w:pPr>
      <w:r>
        <w:t xml:space="preserve">VEX is the assertion layer — for every CVE in the VDR, the agency asserts</w:t>
      </w:r>
      <w:r>
        <w:t xml:space="preserve"> </w:t>
      </w:r>
      <w:r>
        <w:t xml:space="preserve">whether it is exploitable in the specific deployment context.</w:t>
      </w:r>
    </w:p>
    <w:p>
      <w:pPr>
        <w:pStyle w:val="CaptionedFigure"/>
      </w:pPr>
      <w:r>
        <w:drawing>
          <wp:inline>
            <wp:extent cx="5334000" cy="2359269"/>
            <wp:effectExtent b="0" l="0" r="0" t="0"/>
            <wp:docPr descr="VEX Exploitability Assessment — Decision Flow for Each CVE in VDR" title="" id="26" name="Picture"/>
            <a:graphic>
              <a:graphicData uri="http://schemas.openxmlformats.org/drawingml/2006/picture">
                <pic:pic>
                  <pic:nvPicPr>
                    <pic:cNvPr descr="figs/scrm-fig-02-vex-flow.png" id="27" name="Picture"/>
                    <pic:cNvPicPr>
                      <a:picLocks noChangeArrowheads="1" noChangeAspect="1"/>
                    </pic:cNvPicPr>
                  </pic:nvPicPr>
                  <pic:blipFill>
                    <a:blip r:embed="rId25"/>
                    <a:stretch>
                      <a:fillRect/>
                    </a:stretch>
                  </pic:blipFill>
                  <pic:spPr bwMode="auto">
                    <a:xfrm>
                      <a:off x="0" y="0"/>
                      <a:ext cx="5334000" cy="2359269"/>
                    </a:xfrm>
                    <a:prstGeom prst="rect">
                      <a:avLst/>
                    </a:prstGeom>
                    <a:noFill/>
                    <a:ln w="9525">
                      <a:noFill/>
                      <a:headEnd/>
                      <a:tailEnd/>
                    </a:ln>
                  </pic:spPr>
                </pic:pic>
              </a:graphicData>
            </a:graphic>
          </wp:inline>
        </w:drawing>
      </w:r>
    </w:p>
    <w:p>
      <w:pPr>
        <w:pStyle w:val="ImageCaption"/>
      </w:pPr>
      <w:r>
        <w:t xml:space="preserve">VEX Exploitability Assessment — Decision Flow for Each CVE in VDR</w:t>
      </w:r>
    </w:p>
    <w:bookmarkStart w:id="28" w:name="vex-status-values"/>
    <w:p>
      <w:pPr>
        <w:pStyle w:val="Heading2"/>
      </w:pPr>
      <w:r>
        <w:t xml:space="preserve">4.1 VEX Status Values</w:t>
      </w:r>
    </w:p>
    <w:p>
      <w:pPr>
        <w:pStyle w:val="TableCaption"/>
      </w:pPr>
      <w:r>
        <w:t xml:space="preserve">VEX Status Values</w:t>
      </w:r>
    </w:p>
    <w:tbl>
      <w:tblPr>
        <w:tblStyle w:val="Table"/>
        <w:tblW w:type="pct" w:w="5000"/>
        <w:tblLayout w:type="fixed"/>
        <w:tblLook w:firstRow="1" w:lastRow="0" w:firstColumn="0" w:lastColumn="0" w:noHBand="0" w:noVBand="0" w:val="0020"/>
        <w:tblCaption w:val="VEX Status Values"/>
      </w:tblPr>
      <w:tblGrid>
        <w:gridCol w:w="2436"/>
        <w:gridCol w:w="2741"/>
        <w:gridCol w:w="2741"/>
      </w:tblGrid>
      <w:tr>
        <w:trPr>
          <w:tblHeader w:val="on"/>
        </w:trPr>
        <w:tc>
          <w:tcPr/>
          <w:p>
            <w:pPr>
              <w:pStyle w:val="Compact"/>
            </w:pPr>
            <w:r>
              <w:t xml:space="preserve">Status</w:t>
            </w:r>
          </w:p>
        </w:tc>
        <w:tc>
          <w:tcPr/>
          <w:p>
            <w:pPr>
              <w:pStyle w:val="Compact"/>
            </w:pPr>
            <w:r>
              <w:t xml:space="preserve">Meaning</w:t>
            </w:r>
          </w:p>
        </w:tc>
        <w:tc>
          <w:tcPr/>
          <w:p>
            <w:pPr>
              <w:pStyle w:val="Compact"/>
            </w:pPr>
            <w:r>
              <w:t xml:space="preserve">Example</w:t>
            </w:r>
          </w:p>
        </w:tc>
      </w:tr>
      <w:tr>
        <w:tc>
          <w:tcPr/>
          <w:p>
            <w:pPr>
              <w:pStyle w:val="Compact"/>
            </w:pPr>
            <w:r>
              <w:rPr>
                <w:rStyle w:val="VerbatimChar"/>
              </w:rPr>
              <w:t xml:space="preserve">not_affected</w:t>
            </w:r>
          </w:p>
        </w:tc>
        <w:tc>
          <w:tcPr/>
          <w:p>
            <w:pPr>
              <w:pStyle w:val="Compact"/>
            </w:pPr>
            <w:r>
              <w:t xml:space="preserve">Vulnerability exists in component but cannot be exploited</w:t>
            </w:r>
          </w:p>
        </w:tc>
        <w:tc>
          <w:tcPr/>
          <w:p>
            <w:pPr>
              <w:pStyle w:val="Compact"/>
            </w:pPr>
            <w:r>
              <w:t xml:space="preserve">Library function not called; OS feature not enabled</w:t>
            </w:r>
          </w:p>
        </w:tc>
      </w:tr>
      <w:tr>
        <w:tc>
          <w:tcPr/>
          <w:p>
            <w:pPr>
              <w:pStyle w:val="Compact"/>
            </w:pPr>
            <w:r>
              <w:rPr>
                <w:rStyle w:val="VerbatimChar"/>
              </w:rPr>
              <w:t xml:space="preserve">affected</w:t>
            </w:r>
          </w:p>
        </w:tc>
        <w:tc>
          <w:tcPr/>
          <w:p>
            <w:pPr>
              <w:pStyle w:val="Compact"/>
            </w:pPr>
            <w:r>
              <w:t xml:space="preserve">Vulnerability is exploitable — remediation underway</w:t>
            </w:r>
          </w:p>
        </w:tc>
        <w:tc>
          <w:tcPr/>
          <w:p>
            <w:pPr>
              <w:pStyle w:val="Compact"/>
            </w:pPr>
            <w:r>
              <w:t xml:space="preserve">Production system uses the affected code path</w:t>
            </w:r>
          </w:p>
        </w:tc>
      </w:tr>
      <w:tr>
        <w:tc>
          <w:tcPr/>
          <w:p>
            <w:pPr>
              <w:pStyle w:val="Compact"/>
            </w:pPr>
            <w:r>
              <w:rPr>
                <w:rStyle w:val="VerbatimChar"/>
              </w:rPr>
              <w:t xml:space="preserve">fixed</w:t>
            </w:r>
          </w:p>
        </w:tc>
        <w:tc>
          <w:tcPr/>
          <w:p>
            <w:pPr>
              <w:pStyle w:val="Compact"/>
            </w:pPr>
            <w:r>
              <w:t xml:space="preserve">Component has been patched to a non-vulnerable version</w:t>
            </w:r>
          </w:p>
        </w:tc>
        <w:tc>
          <w:tcPr/>
          <w:p>
            <w:pPr>
              <w:pStyle w:val="Compact"/>
            </w:pPr>
            <w:r>
              <w:t xml:space="preserve">CVE remediated in current deployment</w:t>
            </w:r>
          </w:p>
        </w:tc>
      </w:tr>
      <w:tr>
        <w:tc>
          <w:tcPr/>
          <w:p>
            <w:pPr>
              <w:pStyle w:val="Compact"/>
            </w:pPr>
            <w:r>
              <w:rPr>
                <w:rStyle w:val="VerbatimChar"/>
              </w:rPr>
              <w:t xml:space="preserve">under_investigation</w:t>
            </w:r>
          </w:p>
        </w:tc>
        <w:tc>
          <w:tcPr/>
          <w:p>
            <w:pPr>
              <w:pStyle w:val="Compact"/>
            </w:pPr>
            <w:r>
              <w:t xml:space="preserve">Exploitability being analyzed</w:t>
            </w:r>
          </w:p>
        </w:tc>
        <w:tc>
          <w:tcPr/>
          <w:p>
            <w:pPr>
              <w:pStyle w:val="Compact"/>
            </w:pPr>
            <w:r>
              <w:t xml:space="preserve">New CVE, analysis in progress (max 7-day window)</w:t>
            </w:r>
          </w:p>
        </w:tc>
      </w:tr>
    </w:tbl>
    <w:bookmarkEnd w:id="28"/>
    <w:bookmarkStart w:id="29" w:name="vex-document-structure-openvex"/>
    <w:p>
      <w:pPr>
        <w:pStyle w:val="Heading2"/>
      </w:pPr>
      <w:r>
        <w:t xml:space="preserve">4.2 VEX Document Structure (OpenVEX)</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"https://openvex.dev/ns/v0.2.0"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"https://sbom.ssa.gov/vex/2026-Q3/vex-20260703.json"</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"SSA Cloud Services Team"</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"2026-07-03T00:00:00Z"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"vulnerability"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"https://nvd.nist.gov/vuln/detail/CVE-2024-12345"</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"CVE-2024-12345"</w:t>
      </w:r>
      <w:r>
        <w:br/>
      </w:r>
      <w:r>
        <w:rPr>
          <w:rStyle w:val="NormalTok"/>
        </w:rPr>
        <w:t xml:space="preserve">      </w:t>
      </w:r>
      <w:r>
        <w:rPr>
          <w:rStyle w:val="FunctionTok"/>
        </w:rPr>
        <w:t xml:space="preserve">},</w:t>
      </w:r>
      <w:r>
        <w:br/>
      </w:r>
      <w:r>
        <w:rPr>
          <w:rStyle w:val="NormalTok"/>
        </w:rPr>
        <w:t xml:space="preserve">      </w:t>
      </w:r>
      <w:r>
        <w:rPr>
          <w:rStyle w:val="DataTypeTok"/>
        </w:rPr>
        <w:t xml:space="preserve">"products"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"pkg:pypi/requests@2.28.0"</w:t>
      </w:r>
      <w:r>
        <w:rPr>
          <w:rStyle w:val="FunctionTok"/>
        </w:rPr>
        <w:t xml:space="preserve">,</w:t>
      </w:r>
      <w:r>
        <w:br/>
      </w:r>
      <w:r>
        <w:rPr>
          <w:rStyle w:val="NormalTok"/>
        </w:rPr>
        <w:t xml:space="preserve">          </w:t>
      </w:r>
      <w:r>
        <w:rPr>
          <w:rStyle w:val="DataTypeTok"/>
        </w:rPr>
        <w:t xml:space="preserve">"subcomponents"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"not_affected"</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StringTok"/>
        </w:rPr>
        <w:t xml:space="preserve">"protected_by_mitigating_control"</w:t>
      </w:r>
      <w:r>
        <w:rPr>
          <w:rStyle w:val="FunctionTok"/>
        </w:rPr>
        <w:t xml:space="preserve">,</w:t>
      </w:r>
      <w:r>
        <w:br/>
      </w:r>
      <w:r>
        <w:rPr>
          <w:rStyle w:val="NormalTok"/>
        </w:rPr>
        <w:t xml:space="preserve">      </w:t>
      </w:r>
      <w:r>
        <w:rPr>
          <w:rStyle w:val="DataTypeTok"/>
        </w:rPr>
        <w:t xml:space="preserve">"impact_statement"</w:t>
      </w:r>
      <w:r>
        <w:rPr>
          <w:rStyle w:val="FunctionTok"/>
        </w:rPr>
        <w:t xml:space="preserve">:</w:t>
      </w:r>
      <w:r>
        <w:rPr>
          <w:rStyle w:val="NormalTok"/>
        </w:rPr>
        <w:t xml:space="preserve"> </w:t>
      </w:r>
      <w:r>
        <w:rPr>
          <w:rStyle w:val="StringTok"/>
        </w:rPr>
        <w:t xml:space="preserve">"SSA API gateway enforces input validation upstream of the affected code path. The vulnerable deserialization function is never called in production configuration."</w:t>
      </w:r>
      <w:r>
        <w:rPr>
          <w:rStyle w:val="FunctionTok"/>
        </w:rPr>
        <w:t xml:space="preserve">,</w:t>
      </w:r>
      <w:r>
        <w:br/>
      </w:r>
      <w:r>
        <w:rPr>
          <w:rStyle w:val="NormalTok"/>
        </w:rPr>
        <w:t xml:space="preserve">      </w:t>
      </w:r>
      <w:r>
        <w:rPr>
          <w:rStyle w:val="DataTypeTok"/>
        </w:rPr>
        <w:t xml:space="preserve">"action_statement"</w:t>
      </w:r>
      <w:r>
        <w:rPr>
          <w:rStyle w:val="FunctionTok"/>
        </w:rPr>
        <w:t xml:space="preserve">:</w:t>
      </w:r>
      <w:r>
        <w:rPr>
          <w:rStyle w:val="NormalTok"/>
        </w:rPr>
        <w:t xml:space="preserve"> </w:t>
      </w:r>
      <w:r>
        <w:rPr>
          <w:rStyle w:val="StringTok"/>
        </w:rPr>
        <w:t xml:space="preserve">"No action required. Controlled via API gateway policy."</w:t>
      </w:r>
      <w:r>
        <w:rPr>
          <w:rStyle w:val="FunctionTok"/>
        </w:rPr>
        <w:t xml:space="preserve">,</w:t>
      </w:r>
      <w:r>
        <w:br/>
      </w:r>
      <w:r>
        <w:rPr>
          <w:rStyle w:val="NormalTok"/>
        </w:rPr>
        <w:t xml:space="preserve">      </w:t>
      </w:r>
      <w:r>
        <w:rPr>
          <w:rStyle w:val="DataTypeTok"/>
        </w:rPr>
        <w:t xml:space="preserve">"action_statement_timestamp"</w:t>
      </w:r>
      <w:r>
        <w:rPr>
          <w:rStyle w:val="FunctionTok"/>
        </w:rPr>
        <w:t xml:space="preserve">:</w:t>
      </w:r>
      <w:r>
        <w:rPr>
          <w:rStyle w:val="NormalTok"/>
        </w:rPr>
        <w:t xml:space="preserve"> </w:t>
      </w:r>
      <w:r>
        <w:rPr>
          <w:rStyle w:val="StringTok"/>
        </w:rPr>
        <w:t xml:space="preserve">"2026-07-03T00:00:00Z"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9"/>
    <w:bookmarkStart w:id="30" w:name="vex-authoring-process"/>
    <w:p>
      <w:pPr>
        <w:pStyle w:val="Heading2"/>
      </w:pPr>
      <w:r>
        <w:t xml:space="preserve">4.3 VEX Authoring Process</w:t>
      </w:r>
    </w:p>
    <w:p>
      <w:pPr>
        <w:pStyle w:val="FirstParagraph"/>
      </w:pPr>
      <w:r>
        <w:t xml:space="preserve">VEX assertions require human judgment — automated tools can identify whether</w:t>
      </w:r>
      <w:r>
        <w:t xml:space="preserve"> </w:t>
      </w:r>
      <w:r>
        <w:t xml:space="preserve">a code path is reachable but cannot assert deployment-context exploitability.</w:t>
      </w:r>
      <w:r>
        <w:t xml:space="preserve"> </w:t>
      </w:r>
      <w:r>
        <w:t xml:space="preserve">The authoring process:</w:t>
      </w:r>
    </w:p>
    <w:p>
      <w:pPr>
        <w:pStyle w:val="Compact"/>
        <w:numPr>
          <w:ilvl w:val="0"/>
          <w:numId w:val="1002"/>
        </w:numPr>
      </w:pPr>
      <w:r>
        <w:rPr>
          <w:b/>
          <w:bCs/>
        </w:rPr>
        <w:t xml:space="preserve">Automated</w:t>
      </w:r>
      <w:r>
        <w:t xml:space="preserve">: Grype + SBOM produce the VDR (all CVEs)</w:t>
      </w:r>
    </w:p>
    <w:p>
      <w:pPr>
        <w:pStyle w:val="Compact"/>
        <w:numPr>
          <w:ilvl w:val="0"/>
          <w:numId w:val="1002"/>
        </w:numPr>
      </w:pPr>
      <w:r>
        <w:rPr>
          <w:b/>
          <w:bCs/>
        </w:rPr>
        <w:t xml:space="preserve">Triage</w:t>
      </w:r>
      <w:r>
        <w:t xml:space="preserve">: KEV check escalates P0 CVEs for immediate human review</w:t>
      </w:r>
    </w:p>
    <w:p>
      <w:pPr>
        <w:pStyle w:val="Compact"/>
        <w:numPr>
          <w:ilvl w:val="0"/>
          <w:numId w:val="1002"/>
        </w:numPr>
      </w:pPr>
      <w:r>
        <w:rPr>
          <w:b/>
          <w:bCs/>
        </w:rPr>
        <w:t xml:space="preserve">Analysis</w:t>
      </w:r>
      <w:r>
        <w:t xml:space="preserve">: Security team reviews each CVE for deployment-context exploitability</w:t>
      </w:r>
    </w:p>
    <w:p>
      <w:pPr>
        <w:pStyle w:val="Compact"/>
        <w:numPr>
          <w:ilvl w:val="0"/>
          <w:numId w:val="1002"/>
        </w:numPr>
      </w:pPr>
      <w:r>
        <w:rPr>
          <w:b/>
          <w:bCs/>
        </w:rPr>
        <w:t xml:space="preserve">Assertion</w:t>
      </w:r>
      <w:r>
        <w:t xml:space="preserve">: Security team authors VEX assertion with justification</w:t>
      </w:r>
    </w:p>
    <w:p>
      <w:pPr>
        <w:pStyle w:val="Compact"/>
        <w:numPr>
          <w:ilvl w:val="0"/>
          <w:numId w:val="1002"/>
        </w:numPr>
      </w:pPr>
      <w:r>
        <w:rPr>
          <w:b/>
          <w:bCs/>
        </w:rPr>
        <w:t xml:space="preserve">Sign + Submit</w:t>
      </w:r>
      <w:r>
        <w:t xml:space="preserve">: VEX signed with GPG key; submitted to CISA VEX Portal</w:t>
      </w:r>
    </w:p>
    <w:p>
      <w:pPr>
        <w:pStyle w:val="Compact"/>
        <w:numPr>
          <w:ilvl w:val="0"/>
          <w:numId w:val="1002"/>
        </w:numPr>
      </w:pPr>
      <w:r>
        <w:rPr>
          <w:b/>
          <w:bCs/>
        </w:rPr>
        <w:t xml:space="preserve">Ingest</w:t>
      </w:r>
      <w:r>
        <w:t xml:space="preserve">: Signed VEX stored in Azure Blob immutable tier; hash published to SBOM manifest</w:t>
      </w:r>
    </w:p>
    <w:p>
      <w:r>
        <w:pict>
          <v:rect style="width:0;height:1.5pt" o:hralign="center" o:hrstd="t" o:hr="t"/>
        </w:pict>
      </w:r>
    </w:p>
    <w:bookmarkEnd w:id="30"/>
    <w:bookmarkEnd w:id="31"/>
    <w:bookmarkStart w:id="32" w:name="vendor-disclosure-matrix"/>
    <w:p>
      <w:pPr>
        <w:pStyle w:val="Heading1"/>
      </w:pPr>
      <w:r>
        <w:t xml:space="preserve">5. Vendor Disclosure Matrix</w:t>
      </w:r>
    </w:p>
    <w:p>
      <w:pPr>
        <w:pStyle w:val="FirstParagraph"/>
      </w:pPr>
      <w:r>
        <w:t xml:space="preserve">SR-6 requires documented supplier assessments. The vendor disclosure matrix</w:t>
      </w:r>
      <w:r>
        <w:t xml:space="preserve"> </w:t>
      </w:r>
      <w:r>
        <w:t xml:space="preserve">maps each third-party component supplier to their security disclosure program</w:t>
      </w:r>
      <w:r>
        <w:t xml:space="preserve"> </w:t>
      </w:r>
      <w:r>
        <w:t xml:space="preserve">and FedRAMP authorization status.</w:t>
      </w:r>
    </w:p>
    <w:p>
      <w:pPr>
        <w:pStyle w:val="TableCaption"/>
      </w:pPr>
      <w:r>
        <w:t xml:space="preserve">Vendor Disclosure Matrix — SR-6 Evidence</w:t>
      </w:r>
    </w:p>
    <w:tbl>
      <w:tblPr>
        <w:tblStyle w:val="Table"/>
        <w:tblW w:type="pct" w:w="5000"/>
        <w:tblLayout w:type="fixed"/>
        <w:tblLook w:firstRow="1" w:lastRow="0" w:firstColumn="0" w:lastColumn="0" w:noHBand="0" w:noVBand="0" w:val="0020"/>
        <w:tblCaption w:val="Vendor Disclosure Matrix — SR-6 Evidence"/>
      </w:tblPr>
      <w:tblGrid>
        <w:gridCol w:w="1584"/>
        <w:gridCol w:w="1584"/>
        <w:gridCol w:w="1584"/>
        <w:gridCol w:w="1584"/>
        <w:gridCol w:w="1584"/>
      </w:tblGrid>
      <w:tr>
        <w:trPr>
          <w:tblHeader w:val="on"/>
        </w:trPr>
        <w:tc>
          <w:tcPr/>
          <w:p>
            <w:pPr>
              <w:pStyle w:val="Compact"/>
            </w:pPr>
            <w:r>
              <w:t xml:space="preserve">Supplier</w:t>
            </w:r>
          </w:p>
        </w:tc>
        <w:tc>
          <w:tcPr/>
          <w:p>
            <w:pPr>
              <w:pStyle w:val="Compact"/>
            </w:pPr>
            <w:r>
              <w:t xml:space="preserve">Products in SBOM</w:t>
            </w:r>
          </w:p>
        </w:tc>
        <w:tc>
          <w:tcPr/>
          <w:p>
            <w:pPr>
              <w:pStyle w:val="Compact"/>
            </w:pPr>
            <w:r>
              <w:t xml:space="preserve">FedRAMP Authorization</w:t>
            </w:r>
          </w:p>
        </w:tc>
        <w:tc>
          <w:tcPr/>
          <w:p>
            <w:pPr>
              <w:pStyle w:val="Compact"/>
            </w:pPr>
            <w:r>
              <w:t xml:space="preserve">SBOM Program</w:t>
            </w:r>
          </w:p>
        </w:tc>
        <w:tc>
          <w:tcPr/>
          <w:p>
            <w:pPr>
              <w:pStyle w:val="Compact"/>
            </w:pPr>
            <w:r>
              <w:t xml:space="preserve">VEX Accepted</w:t>
            </w:r>
          </w:p>
        </w:tc>
      </w:tr>
      <w:tr>
        <w:tc>
          <w:tcPr/>
          <w:p>
            <w:pPr>
              <w:pStyle w:val="Compact"/>
            </w:pPr>
            <w:r>
              <w:t xml:space="preserve">Anchore</w:t>
            </w:r>
          </w:p>
        </w:tc>
        <w:tc>
          <w:tcPr/>
          <w:p>
            <w:pPr>
              <w:pStyle w:val="Compact"/>
            </w:pPr>
            <w:r>
              <w:t xml:space="preserve">Syft, Grype</w:t>
            </w:r>
          </w:p>
        </w:tc>
        <w:tc>
          <w:tcPr/>
          <w:p>
            <w:pPr>
              <w:pStyle w:val="Compact"/>
            </w:pPr>
            <w:r>
              <w:t xml:space="preserve">N/A (tooling)</w:t>
            </w:r>
          </w:p>
        </w:tc>
        <w:tc>
          <w:tcPr/>
          <w:p>
            <w:pPr>
              <w:pStyle w:val="Compact"/>
            </w:pPr>
            <w:r>
              <w:t xml:space="preserve">Native CycloneDX</w:t>
            </w:r>
          </w:p>
        </w:tc>
        <w:tc>
          <w:tcPr/>
          <w:p>
            <w:pPr>
              <w:pStyle w:val="Compact"/>
            </w:pPr>
            <w:r>
              <w:t xml:space="preserve">Yes</w:t>
            </w:r>
          </w:p>
        </w:tc>
      </w:tr>
      <w:tr>
        <w:tc>
          <w:tcPr/>
          <w:p>
            <w:pPr>
              <w:pStyle w:val="Compact"/>
            </w:pPr>
            <w:r>
              <w:t xml:space="preserve">Microsoft</w:t>
            </w:r>
          </w:p>
        </w:tc>
        <w:tc>
          <w:tcPr/>
          <w:p>
            <w:pPr>
              <w:pStyle w:val="Compact"/>
            </w:pPr>
            <w:r>
              <w:t xml:space="preserve">Defender VM, Sentinel, Purview, Key Vault</w:t>
            </w:r>
          </w:p>
        </w:tc>
        <w:tc>
          <w:tcPr/>
          <w:p>
            <w:pPr>
              <w:pStyle w:val="Compact"/>
            </w:pPr>
            <w:r>
              <w:t xml:space="preserve">Yes — GCC High</w:t>
            </w:r>
          </w:p>
        </w:tc>
        <w:tc>
          <w:tcPr/>
          <w:p>
            <w:pPr>
              <w:pStyle w:val="Compact"/>
            </w:pPr>
            <w:r>
              <w:t xml:space="preserve">MSRC Security Update Guide</w:t>
            </w:r>
          </w:p>
        </w:tc>
        <w:tc>
          <w:tcPr/>
          <w:p>
            <w:pPr>
              <w:pStyle w:val="Compact"/>
            </w:pPr>
            <w:r>
              <w:t xml:space="preserve">Yes (MSRC VEX)</w:t>
            </w:r>
          </w:p>
        </w:tc>
      </w:tr>
      <w:tr>
        <w:tc>
          <w:tcPr/>
          <w:p>
            <w:pPr>
              <w:pStyle w:val="Compact"/>
            </w:pPr>
            <w:r>
              <w:t xml:space="preserve">Cisco</w:t>
            </w:r>
          </w:p>
        </w:tc>
        <w:tc>
          <w:tcPr/>
          <w:p>
            <w:pPr>
              <w:pStyle w:val="Compact"/>
            </w:pPr>
            <w:r>
              <w:t xml:space="preserve">SD-WAN (IOS XE, vManage)</w:t>
            </w:r>
          </w:p>
        </w:tc>
        <w:tc>
          <w:tcPr/>
          <w:p>
            <w:pPr>
              <w:pStyle w:val="Compact"/>
            </w:pPr>
            <w:r>
              <w:t xml:space="preserve">Yes — GCC Moderate</w:t>
            </w:r>
          </w:p>
        </w:tc>
        <w:tc>
          <w:tcPr/>
          <w:p>
            <w:pPr>
              <w:pStyle w:val="Compact"/>
            </w:pPr>
            <w:r>
              <w:t xml:space="preserve">Cisco PSIRT</w:t>
            </w:r>
          </w:p>
        </w:tc>
        <w:tc>
          <w:tcPr/>
          <w:p>
            <w:pPr>
              <w:pStyle w:val="Compact"/>
            </w:pPr>
            <w:r>
              <w:t xml:space="preserve">Yes (OpenVEX)</w:t>
            </w:r>
          </w:p>
        </w:tc>
      </w:tr>
      <w:tr>
        <w:tc>
          <w:tcPr/>
          <w:p>
            <w:pPr>
              <w:pStyle w:val="Compact"/>
            </w:pPr>
            <w:r>
              <w:t xml:space="preserve">Infoblox</w:t>
            </w:r>
          </w:p>
        </w:tc>
        <w:tc>
          <w:tcPr/>
          <w:p>
            <w:pPr>
              <w:pStyle w:val="Compact"/>
            </w:pPr>
            <w:r>
              <w:t xml:space="preserve">NIOS Grid, BloxOne DDI</w:t>
            </w:r>
          </w:p>
        </w:tc>
        <w:tc>
          <w:tcPr/>
          <w:p>
            <w:pPr>
              <w:pStyle w:val="Compact"/>
            </w:pPr>
            <w:r>
              <w:t xml:space="preserve">Yes — FR2017257053</w:t>
            </w:r>
          </w:p>
        </w:tc>
        <w:tc>
          <w:tcPr/>
          <w:p>
            <w:pPr>
              <w:pStyle w:val="Compact"/>
            </w:pPr>
            <w:r>
              <w:t xml:space="preserve">Infoblox Security Portal</w:t>
            </w:r>
          </w:p>
        </w:tc>
        <w:tc>
          <w:tcPr/>
          <w:p>
            <w:pPr>
              <w:pStyle w:val="Compact"/>
            </w:pPr>
            <w:r>
              <w:t xml:space="preserve">Yes</w:t>
            </w:r>
          </w:p>
        </w:tc>
      </w:tr>
      <w:tr>
        <w:tc>
          <w:tcPr/>
          <w:p>
            <w:pPr>
              <w:pStyle w:val="Compact"/>
            </w:pPr>
            <w:r>
              <w:t xml:space="preserve">Anchore/CISA</w:t>
            </w:r>
          </w:p>
        </w:tc>
        <w:tc>
          <w:tcPr/>
          <w:p>
            <w:pPr>
              <w:pStyle w:val="Compact"/>
            </w:pPr>
            <w:r>
              <w:t xml:space="preserve">NVD data feed</w:t>
            </w:r>
          </w:p>
        </w:tc>
        <w:tc>
          <w:tcPr/>
          <w:p>
            <w:pPr>
              <w:pStyle w:val="Compact"/>
            </w:pPr>
            <w:r>
              <w:t xml:space="preserve">N/A (data source)</w:t>
            </w:r>
          </w:p>
        </w:tc>
        <w:tc>
          <w:tcPr/>
          <w:p>
            <w:pPr>
              <w:pStyle w:val="Compact"/>
            </w:pPr>
            <w:r>
              <w:t xml:space="preserve">NVD JSON feed</w:t>
            </w:r>
          </w:p>
        </w:tc>
        <w:tc>
          <w:tcPr/>
          <w:p>
            <w:pPr>
              <w:pStyle w:val="Compact"/>
            </w:pPr>
            <w:r>
              <w:t xml:space="preserve">N/A</w:t>
            </w:r>
          </w:p>
        </w:tc>
      </w:tr>
    </w:tbl>
    <w:p>
      <w:r>
        <w:pict>
          <v:rect style="width:0;height:1.5pt" o:hralign="center" o:hrstd="t" o:hr="t"/>
        </w:pict>
      </w:r>
    </w:p>
    <w:bookmarkEnd w:id="32"/>
    <w:bookmarkStart w:id="35" w:name="nist-sp-800-53-rev-5-control-closure"/>
    <w:p>
      <w:pPr>
        <w:pStyle w:val="Heading1"/>
      </w:pPr>
      <w:r>
        <w:t xml:space="preserve">6. NIST SP 800-53 Rev 5 Control Closure</w:t>
      </w:r>
    </w:p>
    <w:bookmarkStart w:id="33" w:name="sr-family-controls"/>
    <w:p>
      <w:pPr>
        <w:pStyle w:val="Heading2"/>
      </w:pPr>
      <w:r>
        <w:t xml:space="preserve">6.1 SR Family Controls</w:t>
      </w:r>
    </w:p>
    <w:p>
      <w:pPr>
        <w:pStyle w:val="TableCaption"/>
      </w:pPr>
      <w:r>
        <w:t xml:space="preserve">Part 15 — NIST SP 800-53 Rev 5 Control Closure: SR Family</w:t>
      </w:r>
    </w:p>
    <w:tbl>
      <w:tblPr>
        <w:tblStyle w:val="Table"/>
        <w:tblW w:type="pct" w:w="5000"/>
        <w:tblLayout w:type="fixed"/>
        <w:tblLook w:firstRow="1" w:lastRow="0" w:firstColumn="0" w:lastColumn="0" w:noHBand="0" w:noVBand="0" w:val="0020"/>
        <w:tblCaption w:val="Part 15 — NIST SP 800-53 Rev 5 Control Closure: SR Family"/>
      </w:tblPr>
      <w:tblGrid>
        <w:gridCol w:w="1584"/>
        <w:gridCol w:w="1584"/>
        <w:gridCol w:w="1584"/>
        <w:gridCol w:w="1584"/>
        <w:gridCol w:w="1584"/>
      </w:tblGrid>
      <w:tr>
        <w:trPr>
          <w:tblHeader w:val="on"/>
        </w:trPr>
        <w:tc>
          <w:tcPr/>
          <w:p>
            <w:pPr>
              <w:pStyle w:val="Compact"/>
            </w:pPr>
            <w:r>
              <w:t xml:space="preserve">NIST Control</w:t>
            </w:r>
          </w:p>
        </w:tc>
        <w:tc>
          <w:tcPr/>
          <w:p>
            <w:pPr>
              <w:pStyle w:val="Compact"/>
            </w:pPr>
            <w:r>
              <w:t xml:space="preserve">Control Title</w:t>
            </w:r>
          </w:p>
        </w:tc>
        <w:tc>
          <w:tcPr/>
          <w:p>
            <w:pPr>
              <w:pStyle w:val="Compact"/>
            </w:pPr>
            <w:r>
              <w:t xml:space="preserve">Gap Under Current State</w:t>
            </w:r>
          </w:p>
        </w:tc>
        <w:tc>
          <w:tcPr/>
          <w:p>
            <w:pPr>
              <w:pStyle w:val="Compact"/>
            </w:pPr>
            <w:r>
              <w:t xml:space="preserve">Closed By</w:t>
            </w:r>
          </w:p>
        </w:tc>
        <w:tc>
          <w:tcPr/>
          <w:p>
            <w:pPr>
              <w:pStyle w:val="Compact"/>
            </w:pPr>
            <w:r>
              <w:t xml:space="preserve">Evidence</w:t>
            </w:r>
          </w:p>
        </w:tc>
      </w:tr>
      <w:tr>
        <w:tc>
          <w:tcPr/>
          <w:p>
            <w:pPr>
              <w:pStyle w:val="Compact"/>
            </w:pPr>
            <w:r>
              <w:rPr>
                <w:b/>
                <w:bCs/>
              </w:rPr>
              <w:t xml:space="preserve">SR-1</w:t>
            </w:r>
          </w:p>
        </w:tc>
        <w:tc>
          <w:tcPr/>
          <w:p>
            <w:pPr>
              <w:pStyle w:val="Compact"/>
            </w:pPr>
            <w:r>
              <w:t xml:space="preserve">Supply Chain Risk Management Policy and Procedures</w:t>
            </w:r>
          </w:p>
        </w:tc>
        <w:tc>
          <w:tcPr/>
          <w:p>
            <w:pPr>
              <w:pStyle w:val="Compact"/>
            </w:pPr>
            <w:r>
              <w:t xml:space="preserve">No documented SCRM policy; procurement decisions lack security evaluation criteria</w:t>
            </w:r>
          </w:p>
        </w:tc>
        <w:tc>
          <w:tcPr/>
          <w:p>
            <w:pPr>
              <w:pStyle w:val="Compact"/>
            </w:pPr>
            <w:r>
              <w:t xml:space="preserve">SCRM Policy document + SBOM pipeline governance charter</w:t>
            </w:r>
          </w:p>
        </w:tc>
        <w:tc>
          <w:tcPr/>
          <w:p>
            <w:pPr>
              <w:pStyle w:val="Compact"/>
            </w:pPr>
            <w:r>
              <w:t xml:space="preserve">Pipeline run log; policy document in SSP</w:t>
            </w:r>
          </w:p>
        </w:tc>
      </w:tr>
      <w:tr>
        <w:tc>
          <w:tcPr/>
          <w:p>
            <w:pPr>
              <w:pStyle w:val="Compact"/>
            </w:pPr>
            <w:r>
              <w:rPr>
                <w:b/>
                <w:bCs/>
              </w:rPr>
              <w:t xml:space="preserve">SR-2</w:t>
            </w:r>
          </w:p>
        </w:tc>
        <w:tc>
          <w:tcPr/>
          <w:p>
            <w:pPr>
              <w:pStyle w:val="Compact"/>
            </w:pPr>
            <w:r>
              <w:t xml:space="preserve">Supply Chain Risk Management Plan</w:t>
            </w:r>
          </w:p>
        </w:tc>
        <w:tc>
          <w:tcPr/>
          <w:p>
            <w:pPr>
              <w:pStyle w:val="Compact"/>
            </w:pPr>
            <w:r>
              <w:t xml:space="preserve">No SCRM plan; supplier risk not assessed systematically</w:t>
            </w:r>
          </w:p>
        </w:tc>
        <w:tc>
          <w:tcPr/>
          <w:p>
            <w:pPr>
              <w:pStyle w:val="Compact"/>
            </w:pPr>
            <w:r>
              <w:t xml:space="preserve">SBOM pipeline + vendor disclosure matrix + KEV integration</w:t>
            </w:r>
          </w:p>
        </w:tc>
        <w:tc>
          <w:tcPr/>
          <w:p>
            <w:pPr>
              <w:pStyle w:val="Compact"/>
            </w:pPr>
            <w:r>
              <w:t xml:space="preserve">SBOM manifest; vendor matrix; KEV triage log</w:t>
            </w:r>
          </w:p>
        </w:tc>
      </w:tr>
      <w:tr>
        <w:tc>
          <w:tcPr/>
          <w:p>
            <w:pPr>
              <w:pStyle w:val="Compact"/>
            </w:pPr>
            <w:r>
              <w:rPr>
                <w:b/>
                <w:bCs/>
              </w:rPr>
              <w:t xml:space="preserve">SR-3</w:t>
            </w:r>
          </w:p>
        </w:tc>
        <w:tc>
          <w:tcPr/>
          <w:p>
            <w:pPr>
              <w:pStyle w:val="Compact"/>
            </w:pPr>
            <w:r>
              <w:t xml:space="preserve">Supply Chain Controls and Processes</w:t>
            </w:r>
          </w:p>
        </w:tc>
        <w:tc>
          <w:tcPr/>
          <w:p>
            <w:pPr>
              <w:pStyle w:val="Compact"/>
            </w:pPr>
            <w:r>
              <w:t xml:space="preserve">Software acquisition lacks SBOM requirements; no contractual SBOM delivery clause</w:t>
            </w:r>
          </w:p>
        </w:tc>
        <w:tc>
          <w:tcPr/>
          <w:p>
            <w:pPr>
              <w:pStyle w:val="Compact"/>
            </w:pPr>
            <w:r>
              <w:t xml:space="preserve">Acquisition policy update requiring CycloneDX SBOM delivery from suppliers; SBOM ingest pipeline</w:t>
            </w:r>
          </w:p>
        </w:tc>
        <w:tc>
          <w:tcPr/>
          <w:p>
            <w:pPr>
              <w:pStyle w:val="Compact"/>
            </w:pPr>
            <w:r>
              <w:t xml:space="preserve">Acquisition policy; SBOM pipeline job log</w:t>
            </w:r>
          </w:p>
        </w:tc>
      </w:tr>
      <w:tr>
        <w:tc>
          <w:tcPr/>
          <w:p>
            <w:pPr>
              <w:pStyle w:val="Compact"/>
            </w:pPr>
            <w:r>
              <w:rPr>
                <w:b/>
                <w:bCs/>
              </w:rPr>
              <w:t xml:space="preserve">SR-5</w:t>
            </w:r>
          </w:p>
        </w:tc>
        <w:tc>
          <w:tcPr/>
          <w:p>
            <w:pPr>
              <w:pStyle w:val="Compact"/>
            </w:pPr>
            <w:r>
              <w:t xml:space="preserve">Acquisition Strategies, Tools, and Methods</w:t>
            </w:r>
          </w:p>
        </w:tc>
        <w:tc>
          <w:tcPr/>
          <w:p>
            <w:pPr>
              <w:pStyle w:val="Compact"/>
            </w:pPr>
            <w:r>
              <w:t xml:space="preserve">No software composition analysis in procurement evaluation</w:t>
            </w:r>
          </w:p>
        </w:tc>
        <w:tc>
          <w:tcPr/>
          <w:p>
            <w:pPr>
              <w:pStyle w:val="Compact"/>
            </w:pPr>
            <w:r>
              <w:t xml:space="preserve">SCA tooling (Syft + Grype) integrated into CI/CD before production promotion</w:t>
            </w:r>
          </w:p>
        </w:tc>
        <w:tc>
          <w:tcPr/>
          <w:p>
            <w:pPr>
              <w:pStyle w:val="Compact"/>
            </w:pPr>
            <w:r>
              <w:t xml:space="preserve">Pipeline artifact; pre-approval gate log</w:t>
            </w:r>
          </w:p>
        </w:tc>
      </w:tr>
      <w:tr>
        <w:tc>
          <w:tcPr/>
          <w:p>
            <w:pPr>
              <w:pStyle w:val="Compact"/>
            </w:pPr>
            <w:r>
              <w:rPr>
                <w:b/>
                <w:bCs/>
              </w:rPr>
              <w:t xml:space="preserve">SR-6</w:t>
            </w:r>
          </w:p>
        </w:tc>
        <w:tc>
          <w:tcPr/>
          <w:p>
            <w:pPr>
              <w:pStyle w:val="Compact"/>
            </w:pPr>
            <w:r>
              <w:t xml:space="preserve">Supplier Assessments and Reviews</w:t>
            </w:r>
          </w:p>
        </w:tc>
        <w:tc>
          <w:tcPr/>
          <w:p>
            <w:pPr>
              <w:pStyle w:val="Compact"/>
            </w:pPr>
            <w:r>
              <w:t xml:space="preserve">No structured supplier security review; FedRAMP authorization status not tracked per supplier</w:t>
            </w:r>
          </w:p>
        </w:tc>
        <w:tc>
          <w:tcPr/>
          <w:p>
            <w:pPr>
              <w:pStyle w:val="Compact"/>
            </w:pPr>
            <w:r>
              <w:t xml:space="preserve">Vendor disclosure matrix; annual supplier assessment schedule; MSRC/PSIRT feed subscriptions</w:t>
            </w:r>
          </w:p>
        </w:tc>
        <w:tc>
          <w:tcPr/>
          <w:p>
            <w:pPr>
              <w:pStyle w:val="Compact"/>
            </w:pPr>
            <w:r>
              <w:t xml:space="preserve">Vendor matrix; assessment calendar; feed subscription records</w:t>
            </w:r>
          </w:p>
        </w:tc>
      </w:tr>
      <w:tr>
        <w:tc>
          <w:tcPr/>
          <w:p>
            <w:pPr>
              <w:pStyle w:val="Compact"/>
            </w:pPr>
            <w:r>
              <w:rPr>
                <w:b/>
                <w:bCs/>
              </w:rPr>
              <w:t xml:space="preserve">SR-8</w:t>
            </w:r>
          </w:p>
        </w:tc>
        <w:tc>
          <w:tcPr/>
          <w:p>
            <w:pPr>
              <w:pStyle w:val="Compact"/>
            </w:pPr>
            <w:r>
              <w:t xml:space="preserve">Notification Agreements</w:t>
            </w:r>
          </w:p>
        </w:tc>
        <w:tc>
          <w:tcPr/>
          <w:p>
            <w:pPr>
              <w:pStyle w:val="Compact"/>
            </w:pPr>
            <w:r>
              <w:t xml:space="preserve">No documented process for receiving and responding to supplier vulnerability notifications</w:t>
            </w:r>
          </w:p>
        </w:tc>
        <w:tc>
          <w:tcPr/>
          <w:p>
            <w:pPr>
              <w:pStyle w:val="Compact"/>
            </w:pPr>
            <w:r>
              <w:t xml:space="preserve">MSRC Security Update Guide subscription; Cisco PSIRT subscription; Infoblox security portal registration</w:t>
            </w:r>
          </w:p>
        </w:tc>
        <w:tc>
          <w:tcPr/>
          <w:p>
            <w:pPr>
              <w:pStyle w:val="Compact"/>
            </w:pPr>
            <w:r>
              <w:t xml:space="preserve">Notification feed subscriptions; incident response playbook for supplier CVEs</w:t>
            </w:r>
          </w:p>
        </w:tc>
      </w:tr>
      <w:tr>
        <w:tc>
          <w:tcPr/>
          <w:p>
            <w:pPr>
              <w:pStyle w:val="Compact"/>
            </w:pPr>
            <w:r>
              <w:rPr>
                <w:b/>
                <w:bCs/>
              </w:rPr>
              <w:t xml:space="preserve">SR-10</w:t>
            </w:r>
          </w:p>
        </w:tc>
        <w:tc>
          <w:tcPr/>
          <w:p>
            <w:pPr>
              <w:pStyle w:val="Compact"/>
            </w:pPr>
            <w:r>
              <w:t xml:space="preserve">Inspection of Systems or Components</w:t>
            </w:r>
          </w:p>
        </w:tc>
        <w:tc>
          <w:tcPr/>
          <w:p>
            <w:pPr>
              <w:pStyle w:val="Compact"/>
            </w:pPr>
            <w:r>
              <w:t xml:space="preserve">No component integrity verification at build or deployment</w:t>
            </w:r>
          </w:p>
        </w:tc>
        <w:tc>
          <w:tcPr/>
          <w:p>
            <w:pPr>
              <w:pStyle w:val="Compact"/>
            </w:pPr>
            <w:r>
              <w:t xml:space="preserve">Syft SBOM hash verification at container pull; GPG-signed SBOM manifest; supply chain attestation in SLSA Level 2</w:t>
            </w:r>
          </w:p>
        </w:tc>
        <w:tc>
          <w:tcPr/>
          <w:p>
            <w:pPr>
              <w:pStyle w:val="Compact"/>
            </w:pPr>
            <w:r>
              <w:t xml:space="preserve">SLSA provenance records; container image hash verification log</w:t>
            </w:r>
          </w:p>
        </w:tc>
      </w:tr>
      <w:tr>
        <w:tc>
          <w:tcPr/>
          <w:p>
            <w:pPr>
              <w:pStyle w:val="Compact"/>
            </w:pPr>
            <w:r>
              <w:rPr>
                <w:b/>
                <w:bCs/>
              </w:rPr>
              <w:t xml:space="preserve">SR-11</w:t>
            </w:r>
          </w:p>
        </w:tc>
        <w:tc>
          <w:tcPr/>
          <w:p>
            <w:pPr>
              <w:pStyle w:val="Compact"/>
            </w:pPr>
            <w:r>
              <w:t xml:space="preserve">Component Authenticity</w:t>
            </w:r>
          </w:p>
        </w:tc>
        <w:tc>
          <w:tcPr/>
          <w:p>
            <w:pPr>
              <w:pStyle w:val="Compact"/>
            </w:pPr>
            <w:r>
              <w:t xml:space="preserve">No cryptographic verification of component authenticity; no process for detecting counterfeit components</w:t>
            </w:r>
          </w:p>
        </w:tc>
        <w:tc>
          <w:tcPr/>
          <w:p>
            <w:pPr>
              <w:pStyle w:val="Compact"/>
            </w:pPr>
            <w:r>
              <w:t xml:space="preserve">GPG-signed SBOMs; SLSA provenance attestation; sigstore (Cosign) for container image signing</w:t>
            </w:r>
          </w:p>
        </w:tc>
        <w:tc>
          <w:tcPr/>
          <w:p>
            <w:pPr>
              <w:pStyle w:val="Compact"/>
            </w:pPr>
            <w:r>
              <w:t xml:space="preserve">Cosign signature verification log; SLSA provenance; SBOM manifest with component hashes</w:t>
            </w:r>
          </w:p>
        </w:tc>
      </w:tr>
    </w:tbl>
    <w:p>
      <w:pPr>
        <w:pStyle w:val="BodyText"/>
      </w:pPr>
      <w:r>
        <w:rPr>
          <w:b/>
          <w:bCs/>
        </w:rPr>
        <w:t xml:space="preserve">Controls closed: 8</w:t>
      </w:r>
      <w:r>
        <w:t xml:space="preserve"> </w:t>
      </w:r>
      <w:r>
        <w:t xml:space="preserve">(SR-1, SR-2, SR-3, SR-5, SR-6, SR-8, SR-10, SR-11)</w:t>
      </w:r>
    </w:p>
    <w:p>
      <w:pPr>
        <w:pStyle w:val="BlockText"/>
      </w:pPr>
      <w:r>
        <w:rPr>
          <w:b/>
          <w:bCs/>
        </w:rPr>
        <w:t xml:space="preserve">Closure Necessity — SR family.</w:t>
      </w:r>
      <w:r>
        <w:t xml:space="preserve"> </w:t>
      </w:r>
      <w:r>
        <w:t xml:space="preserve">These eight controls close through</w:t>
      </w:r>
      <w:r>
        <w:t xml:space="preserve"> </w:t>
      </w:r>
      <w:r>
        <w:t xml:space="preserve">governance artifacts — the SBOM manifest, the VDR, signed VEX assertions, and</w:t>
      </w:r>
      <w:r>
        <w:t xml:space="preserve"> </w:t>
      </w:r>
      <w:r>
        <w:t xml:space="preserve">the acquisition language that compels them from suppliers — not through the</w:t>
      </w:r>
      <w:r>
        <w:t xml:space="preserve"> </w:t>
      </w:r>
      <w:r>
        <w:t xml:space="preserve">network substrate. No IPAM record, SD-WAN overlay, or TIC 3.0 enforcement</w:t>
      </w:r>
      <w:r>
        <w:t xml:space="preserve"> </w:t>
      </w:r>
      <w:r>
        <w:t xml:space="preserve">point produces a software bill of materials or a supplier attestation. This</w:t>
      </w:r>
      <w:r>
        <w:t xml:space="preserve"> </w:t>
      </w:r>
      <w:r>
        <w:t xml:space="preserve">series claims a technology as required only where control text, physics, or</w:t>
      </w:r>
      <w:r>
        <w:t xml:space="preserve"> </w:t>
      </w:r>
      <w:r>
        <w:t xml:space="preserve">protocol behavior makes it the sole closure path; stating plainly that supply</w:t>
      </w:r>
      <w:r>
        <w:t xml:space="preserve"> </w:t>
      </w:r>
      <w:r>
        <w:t xml:space="preserve">chain risk management is not such a case is what keeps those necessity claims</w:t>
      </w:r>
      <w:r>
        <w:t xml:space="preserve"> </w:t>
      </w:r>
      <w:r>
        <w:t xml:space="preserve">credible elsewhere.</w:t>
      </w:r>
    </w:p>
    <w:bookmarkEnd w:id="33"/>
    <w:bookmarkStart w:id="34" w:name="ksi-cmt-evidence-contract-ksi-011014"/>
    <w:p>
      <w:pPr>
        <w:pStyle w:val="Heading2"/>
      </w:pPr>
      <w:r>
        <w:t xml:space="preserve">6.2 KSI-CMT Evidence Contract (KSI-011–014)</w:t>
      </w:r>
    </w:p>
    <w:p>
      <w:pPr>
        <w:pStyle w:val="FirstParagraph"/>
      </w:pPr>
      <w:r>
        <w:t xml:space="preserve">The SBOM/VDR/VEX pipeline provides the VER (Vulnerability Exploitability</w:t>
      </w:r>
      <w:r>
        <w:t xml:space="preserve"> </w:t>
      </w:r>
      <w:r>
        <w:t xml:space="preserve">Report) evidence contract required to upgrade KSI-CMT rules from scaffold</w:t>
      </w:r>
      <w:r>
        <w:t xml:space="preserve"> </w:t>
      </w:r>
      <w:r>
        <w:t xml:space="preserve">to evaluable. The pipeline produces machine-readable artifacts that satisfy</w:t>
      </w:r>
      <w:r>
        <w:t xml:space="preserve"> </w:t>
      </w:r>
      <w:r>
        <w:t xml:space="preserve">the KSI-CMT sub-control requirements:</w:t>
      </w:r>
    </w:p>
    <w:p>
      <w:pPr>
        <w:pStyle w:val="TableCaption"/>
      </w:pPr>
      <w:r>
        <w:t xml:space="preserve">KSI-CMT Evidence Contract — Part 15 Provides VER Evidence for KSI-011–014</w:t>
      </w:r>
    </w:p>
    <w:tbl>
      <w:tblPr>
        <w:tblStyle w:val="Table"/>
        <w:tblW w:type="pct" w:w="5000"/>
        <w:tblLayout w:type="fixed"/>
        <w:tblLook w:firstRow="1" w:lastRow="0" w:firstColumn="0" w:lastColumn="0" w:noHBand="0" w:noVBand="0" w:val="0020"/>
        <w:tblCaption w:val="KSI-CMT Evidence Contract — Part 15 Provides VER Evidence for KSI-011–014"/>
      </w:tblPr>
      <w:tblGrid>
        <w:gridCol w:w="1980"/>
        <w:gridCol w:w="1980"/>
        <w:gridCol w:w="1980"/>
        <w:gridCol w:w="1980"/>
      </w:tblGrid>
      <w:tr>
        <w:trPr>
          <w:tblHeader w:val="on"/>
        </w:trPr>
        <w:tc>
          <w:tcPr/>
          <w:p>
            <w:pPr>
              <w:pStyle w:val="Compact"/>
            </w:pPr>
            <w:r>
              <w:t xml:space="preserve">KSI Rule</w:t>
            </w:r>
          </w:p>
        </w:tc>
        <w:tc>
          <w:tcPr/>
          <w:p>
            <w:pPr>
              <w:pStyle w:val="Compact"/>
            </w:pPr>
            <w:r>
              <w:t xml:space="preserve">KSI Title</w:t>
            </w:r>
          </w:p>
        </w:tc>
        <w:tc>
          <w:tcPr/>
          <w:p>
            <w:pPr>
              <w:pStyle w:val="Compact"/>
            </w:pPr>
            <w:r>
              <w:t xml:space="preserve">NIST Controls</w:t>
            </w:r>
          </w:p>
        </w:tc>
        <w:tc>
          <w:tcPr/>
          <w:p>
            <w:pPr>
              <w:pStyle w:val="Compact"/>
            </w:pPr>
            <w:r>
              <w:t xml:space="preserve">Evidence from Part 15 Pipeline</w:t>
            </w:r>
          </w:p>
        </w:tc>
      </w:tr>
      <w:tr>
        <w:tc>
          <w:tcPr/>
          <w:p>
            <w:pPr>
              <w:pStyle w:val="Compact"/>
            </w:pPr>
            <w:r>
              <w:rPr>
                <w:b/>
                <w:bCs/>
              </w:rPr>
              <w:t xml:space="preserve">KSI-011</w:t>
            </w:r>
          </w:p>
        </w:tc>
        <w:tc>
          <w:tcPr/>
          <w:p>
            <w:pPr>
              <w:pStyle w:val="Compact"/>
            </w:pPr>
            <w:r>
              <w:t xml:space="preserve">Change Logging and Monitoring</w:t>
            </w:r>
          </w:p>
        </w:tc>
        <w:tc>
          <w:tcPr/>
          <w:p>
            <w:pPr>
              <w:pStyle w:val="Compact"/>
            </w:pPr>
            <w:r>
              <w:t xml:space="preserve">CM-3, AU-6</w:t>
            </w:r>
          </w:p>
        </w:tc>
        <w:tc>
          <w:tcPr/>
          <w:p>
            <w:pPr>
              <w:pStyle w:val="Compact"/>
            </w:pPr>
            <w:r>
              <w:t xml:space="preserve">SBOM diff between releases: every dependency change is logged as a structured artifact with author, timestamp, and before/after hash. Ingested by Sentinel (Part 13) as a structured change event.</w:t>
            </w:r>
          </w:p>
        </w:tc>
      </w:tr>
      <w:tr>
        <w:tc>
          <w:tcPr/>
          <w:p>
            <w:pPr>
              <w:pStyle w:val="Compact"/>
            </w:pPr>
            <w:r>
              <w:rPr>
                <w:b/>
                <w:bCs/>
              </w:rPr>
              <w:t xml:space="preserve">KSI-012</w:t>
            </w:r>
          </w:p>
        </w:tc>
        <w:tc>
          <w:tcPr/>
          <w:p>
            <w:pPr>
              <w:pStyle w:val="Compact"/>
            </w:pPr>
            <w:r>
              <w:t xml:space="preserve">Immutable Redeployment over Direct Modification</w:t>
            </w:r>
          </w:p>
        </w:tc>
        <w:tc>
          <w:tcPr/>
          <w:p>
            <w:pPr>
              <w:pStyle w:val="Compact"/>
            </w:pPr>
            <w:r>
              <w:t xml:space="preserve">CM-2, SA-10</w:t>
            </w:r>
          </w:p>
        </w:tc>
        <w:tc>
          <w:tcPr/>
          <w:p>
            <w:pPr>
              <w:pStyle w:val="Compact"/>
            </w:pPr>
            <w:r>
              <w:t xml:space="preserve">SLSA provenance attestation: every production artifact is built from a versioned source, not modified in-place. The SBOM manifest + SLSA Level 2 record proves the deployed artifact matches the build artifact.</w:t>
            </w:r>
          </w:p>
        </w:tc>
      </w:tr>
      <w:tr>
        <w:tc>
          <w:tcPr/>
          <w:p>
            <w:pPr>
              <w:pStyle w:val="Compact"/>
            </w:pPr>
            <w:r>
              <w:rPr>
                <w:b/>
                <w:bCs/>
              </w:rPr>
              <w:t xml:space="preserve">KSI-013</w:t>
            </w:r>
          </w:p>
        </w:tc>
        <w:tc>
          <w:tcPr/>
          <w:p>
            <w:pPr>
              <w:pStyle w:val="Compact"/>
            </w:pPr>
            <w:r>
              <w:t xml:space="preserve">Change-Procedure Effectiveness Review</w:t>
            </w:r>
          </w:p>
        </w:tc>
        <w:tc>
          <w:tcPr/>
          <w:p>
            <w:pPr>
              <w:pStyle w:val="Compact"/>
            </w:pPr>
            <w:r>
              <w:t xml:space="preserve">CM-3, CA-7</w:t>
            </w:r>
          </w:p>
        </w:tc>
        <w:tc>
          <w:tcPr/>
          <w:p>
            <w:pPr>
              <w:pStyle w:val="Compact"/>
            </w:pPr>
            <w:r>
              <w:t xml:space="preserve">VEX quarterly review cycle: VEX assertions must be reviewed every 90 days or upon new CVE disclosure. Review completion is a dated, signed record — the change-procedure effectiveness evidence.</w:t>
            </w:r>
          </w:p>
        </w:tc>
      </w:tr>
      <w:tr>
        <w:tc>
          <w:tcPr/>
          <w:p>
            <w:pPr>
              <w:pStyle w:val="Compact"/>
            </w:pPr>
            <w:r>
              <w:rPr>
                <w:b/>
                <w:bCs/>
              </w:rPr>
              <w:t xml:space="preserve">KSI-014</w:t>
            </w:r>
          </w:p>
        </w:tc>
        <w:tc>
          <w:tcPr/>
          <w:p>
            <w:pPr>
              <w:pStyle w:val="Compact"/>
            </w:pPr>
            <w:r>
              <w:t xml:space="preserve">Automated Validation Throughout Deployment</w:t>
            </w:r>
          </w:p>
        </w:tc>
        <w:tc>
          <w:tcPr/>
          <w:p>
            <w:pPr>
              <w:pStyle w:val="Compact"/>
            </w:pPr>
            <w:r>
              <w:t xml:space="preserve">CM-3(2), SA-11</w:t>
            </w:r>
          </w:p>
        </w:tc>
        <w:tc>
          <w:tcPr/>
          <w:p>
            <w:pPr>
              <w:pStyle w:val="Compact"/>
            </w:pPr>
            <w:r>
              <w:t xml:space="preserve">Grype scan runs on every PR and blocks merge if a new critical CVE appears in the SBOM. Scan result = machine-readable validation artifact per deployment.</w:t>
            </w:r>
          </w:p>
        </w:tc>
      </w:tr>
    </w:tbl>
    <w:p>
      <w:r>
        <w:pict>
          <v:rect style="width:0;height:1.5pt" o:hralign="center" o:hrstd="t" o:hr="t"/>
        </w:pict>
      </w:r>
    </w:p>
    <w:bookmarkEnd w:id="34"/>
    <w:bookmarkEnd w:id="35"/>
    <w:bookmarkStart w:id="36" w:name="X4fb379a067686b0992d2d320e68f5b27e9c8070"/>
    <w:p>
      <w:pPr>
        <w:pStyle w:val="Heading1"/>
      </w:pPr>
      <w:r>
        <w:t xml:space="preserve">7. SLSA Supply Chain Levels for Software Artifacts</w:t>
      </w:r>
    </w:p>
    <w:p>
      <w:pPr>
        <w:pStyle w:val="FirstParagraph"/>
      </w:pPr>
      <w:r>
        <w:t xml:space="preserve">SLSA (Supply Chain Levels for Software Artifacts) is the NIST-endorsed framework</w:t>
      </w:r>
      <w:r>
        <w:t xml:space="preserve"> </w:t>
      </w:r>
      <w:r>
        <w:t xml:space="preserve">for measuring build integrity. The pipeline targets</w:t>
      </w:r>
      <w:r>
        <w:t xml:space="preserve"> </w:t>
      </w:r>
      <w:r>
        <w:rPr>
          <w:b/>
          <w:bCs/>
        </w:rPr>
        <w:t xml:space="preserve">SLSA Level 2</w:t>
      </w:r>
      <w:r>
        <w:t xml:space="preserve"> </w:t>
      </w:r>
      <w:r>
        <w:t xml:space="preserve">for initial</w:t>
      </w:r>
      <w:r>
        <w:t xml:space="preserve"> </w:t>
      </w:r>
      <w:r>
        <w:t xml:space="preserve">compliance, progressing to Level 3 before the authorization deadline.</w:t>
      </w:r>
    </w:p>
    <w:p>
      <w:pPr>
        <w:pStyle w:val="TableCaption"/>
      </w:pPr>
      <w:r>
        <w:t xml:space="preserve">SLSA Levels and SSA Implementation Path</w:t>
      </w:r>
    </w:p>
    <w:tbl>
      <w:tblPr>
        <w:tblStyle w:val="Table"/>
        <w:tblW w:type="pct" w:w="5000"/>
        <w:tblLayout w:type="fixed"/>
        <w:tblLook w:firstRow="1" w:lastRow="0" w:firstColumn="0" w:lastColumn="0" w:noHBand="0" w:noVBand="0" w:val="0020"/>
        <w:tblCaption w:val="SLSA Levels and SSA Implementation Path"/>
      </w:tblPr>
      <w:tblGrid>
        <w:gridCol w:w="2640"/>
        <w:gridCol w:w="2640"/>
        <w:gridCol w:w="2640"/>
      </w:tblGrid>
      <w:tr>
        <w:trPr>
          <w:tblHeader w:val="on"/>
        </w:trPr>
        <w:tc>
          <w:tcPr/>
          <w:p>
            <w:pPr>
              <w:pStyle w:val="Compact"/>
            </w:pPr>
            <w:r>
              <w:t xml:space="preserve">SLSA Level</w:t>
            </w:r>
          </w:p>
        </w:tc>
        <w:tc>
          <w:tcPr/>
          <w:p>
            <w:pPr>
              <w:pStyle w:val="Compact"/>
            </w:pPr>
            <w:r>
              <w:t xml:space="preserve">Requirements</w:t>
            </w:r>
          </w:p>
        </w:tc>
        <w:tc>
          <w:tcPr/>
          <w:p>
            <w:pPr>
              <w:pStyle w:val="Compact"/>
            </w:pPr>
            <w:r>
              <w:t xml:space="preserve">SSA Implementation</w:t>
            </w:r>
          </w:p>
        </w:tc>
      </w:tr>
      <w:tr>
        <w:tc>
          <w:tcPr/>
          <w:p>
            <w:pPr>
              <w:pStyle w:val="Compact"/>
            </w:pPr>
            <w:r>
              <w:rPr>
                <w:b/>
                <w:bCs/>
              </w:rPr>
              <w:t xml:space="preserve">Level 1</w:t>
            </w:r>
          </w:p>
        </w:tc>
        <w:tc>
          <w:tcPr/>
          <w:p>
            <w:pPr>
              <w:pStyle w:val="Compact"/>
            </w:pPr>
            <w:r>
              <w:t xml:space="preserve">Provenance document exists</w:t>
            </w:r>
          </w:p>
        </w:tc>
        <w:tc>
          <w:tcPr/>
          <w:p>
            <w:pPr>
              <w:pStyle w:val="Compact"/>
            </w:pPr>
            <w:r>
              <w:t xml:space="preserve">GitHub Actions SBOM workflow produces attestation automatically</w:t>
            </w:r>
          </w:p>
        </w:tc>
      </w:tr>
      <w:tr>
        <w:tc>
          <w:tcPr/>
          <w:p>
            <w:pPr>
              <w:pStyle w:val="Compact"/>
            </w:pPr>
            <w:r>
              <w:rPr>
                <w:b/>
                <w:bCs/>
              </w:rPr>
              <w:t xml:space="preserve">Level 2</w:t>
            </w:r>
          </w:p>
        </w:tc>
        <w:tc>
          <w:tcPr/>
          <w:p>
            <w:pPr>
              <w:pStyle w:val="Compact"/>
            </w:pPr>
            <w:r>
              <w:t xml:space="preserve">Hosted build, signed provenance</w:t>
            </w:r>
          </w:p>
        </w:tc>
        <w:tc>
          <w:tcPr/>
          <w:p>
            <w:pPr>
              <w:pStyle w:val="Compact"/>
            </w:pPr>
            <w:r>
              <w:t xml:space="preserve">GitHub Actions runs on GitHub-hosted runners; provenance signed by OIDC token</w:t>
            </w:r>
          </w:p>
        </w:tc>
      </w:tr>
      <w:tr>
        <w:tc>
          <w:tcPr/>
          <w:p>
            <w:pPr>
              <w:pStyle w:val="Compact"/>
            </w:pPr>
            <w:r>
              <w:rPr>
                <w:b/>
                <w:bCs/>
              </w:rPr>
              <w:t xml:space="preserve">Level 3</w:t>
            </w:r>
          </w:p>
        </w:tc>
        <w:tc>
          <w:tcPr/>
          <w:p>
            <w:pPr>
              <w:pStyle w:val="Compact"/>
            </w:pPr>
            <w:r>
              <w:t xml:space="preserve">Hardened build, two-party review</w:t>
            </w:r>
          </w:p>
        </w:tc>
        <w:tc>
          <w:tcPr/>
          <w:p>
            <w:pPr>
              <w:pStyle w:val="Compact"/>
            </w:pPr>
            <w:r>
              <w:t xml:space="preserve">Level 3 target — requires branch protection + required reviewers for release workflow</w:t>
            </w:r>
          </w:p>
        </w:tc>
      </w:tr>
    </w:tbl>
    <w:p>
      <w:r>
        <w:pict>
          <v:rect style="width:0;height:1.5pt" o:hralign="center" o:hrstd="t" o:hr="t"/>
        </w:pict>
      </w:r>
    </w:p>
    <w:bookmarkEnd w:id="36"/>
    <w:bookmarkStart w:id="39" w:name="continuous-monitoring-integration"/>
    <w:p>
      <w:pPr>
        <w:pStyle w:val="Heading1"/>
      </w:pPr>
      <w:r>
        <w:t xml:space="preserve">8. Continuous Monitoring Integration</w:t>
      </w:r>
    </w:p>
    <w:bookmarkStart w:id="37" w:name="sentinel-dashboard-ksi-mla-integration"/>
    <w:p>
      <w:pPr>
        <w:pStyle w:val="Heading2"/>
      </w:pPr>
      <w:r>
        <w:t xml:space="preserve">8.1 Sentinel Dashboard (KSI-MLA Integration)</w:t>
      </w:r>
    </w:p>
    <w:p>
      <w:pPr>
        <w:pStyle w:val="FirstParagraph"/>
      </w:pPr>
      <w:r>
        <w:t xml:space="preserve">The SBOM/VDR/VEX pipeline integrates with Microsoft Sentinel (Part 13) via a</w:t>
      </w:r>
      <w:r>
        <w:t xml:space="preserve"> </w:t>
      </w:r>
      <w:r>
        <w:t xml:space="preserve">custom data connector that ingests:</w:t>
      </w:r>
    </w:p>
    <w:p>
      <w:pPr>
        <w:pStyle w:val="Compact"/>
        <w:numPr>
          <w:ilvl w:val="0"/>
          <w:numId w:val="1003"/>
        </w:numPr>
      </w:pPr>
      <w:r>
        <w:t xml:space="preserve">Daily SBOM diff (new/removed/updated components)</w:t>
      </w:r>
    </w:p>
    <w:p>
      <w:pPr>
        <w:pStyle w:val="Compact"/>
        <w:numPr>
          <w:ilvl w:val="0"/>
          <w:numId w:val="1003"/>
        </w:numPr>
      </w:pPr>
      <w:r>
        <w:t xml:space="preserve">VDR CVE count by severity (critical/high/medium/low)</w:t>
      </w:r>
    </w:p>
    <w:p>
      <w:pPr>
        <w:pStyle w:val="Compact"/>
        <w:numPr>
          <w:ilvl w:val="0"/>
          <w:numId w:val="1003"/>
        </w:numPr>
      </w:pPr>
      <w:r>
        <w:t xml:space="preserve">VEX assertion status distribution (not_affected / affected / fixed / under_investigation)</w:t>
      </w:r>
    </w:p>
    <w:p>
      <w:pPr>
        <w:pStyle w:val="Compact"/>
        <w:numPr>
          <w:ilvl w:val="0"/>
          <w:numId w:val="1003"/>
        </w:numPr>
      </w:pPr>
      <w:r>
        <w:t xml:space="preserve">KEV hit count (number of SBOM components with active KEV entries)</w:t>
      </w:r>
    </w:p>
    <w:p>
      <w:pPr>
        <w:pStyle w:val="Compact"/>
        <w:numPr>
          <w:ilvl w:val="0"/>
          <w:numId w:val="1003"/>
        </w:numPr>
      </w:pPr>
      <w:r>
        <w:t xml:space="preserve">Days-since-last-VEX-review per product</w:t>
      </w:r>
    </w:p>
    <w:p>
      <w:pPr>
        <w:pStyle w:val="FirstParagraph"/>
      </w:pPr>
      <w:r>
        <w:t xml:space="preserve">KQL analytic rule for KEV breach:</w:t>
      </w:r>
    </w:p>
    <w:p>
      <w:pPr>
        <w:pStyle w:val="SourceCode"/>
      </w:pPr>
      <w:r>
        <w:rPr>
          <w:rStyle w:val="VerbatimChar"/>
        </w:rPr>
        <w:t xml:space="preserve">SBOMVulnerabilities_CL</w:t>
      </w:r>
      <w:r>
        <w:br/>
      </w:r>
      <w:r>
        <w:rPr>
          <w:rStyle w:val="VerbatimChar"/>
        </w:rPr>
        <w:t xml:space="preserve">| where TimeGenerated &gt; ago(1d)</w:t>
      </w:r>
      <w:r>
        <w:br/>
      </w:r>
      <w:r>
        <w:rPr>
          <w:rStyle w:val="VerbatimChar"/>
        </w:rPr>
        <w:t xml:space="preserve">| where kev_listed_b == true</w:t>
      </w:r>
      <w:r>
        <w:br/>
      </w:r>
      <w:r>
        <w:rPr>
          <w:rStyle w:val="VerbatimChar"/>
        </w:rPr>
        <w:t xml:space="preserve">| where vex_status_s in ("affected", "under_investigation")</w:t>
      </w:r>
      <w:r>
        <w:br/>
      </w:r>
      <w:r>
        <w:rPr>
          <w:rStyle w:val="VerbatimChar"/>
        </w:rPr>
        <w:t xml:space="preserve">| where days_since_disclosure_d &gt; 14</w:t>
      </w:r>
      <w:r>
        <w:br/>
      </w:r>
      <w:r>
        <w:rPr>
          <w:rStyle w:val="VerbatimChar"/>
        </w:rPr>
        <w:t xml:space="preserve">| project CVE = cve_id_s, Component = component_name_s,</w:t>
      </w:r>
      <w:r>
        <w:br/>
      </w:r>
      <w:r>
        <w:rPr>
          <w:rStyle w:val="VerbatimChar"/>
        </w:rPr>
        <w:t xml:space="preserve">          CVSS = cvss_score_d, KEVDate = kev_date_added_t,</w:t>
      </w:r>
      <w:r>
        <w:br/>
      </w:r>
      <w:r>
        <w:rPr>
          <w:rStyle w:val="VerbatimChar"/>
        </w:rPr>
        <w:t xml:space="preserve">          DaysOverdue = days_since_disclosure_d - 14</w:t>
      </w:r>
      <w:r>
        <w:br/>
      </w:r>
      <w:r>
        <w:rPr>
          <w:rStyle w:val="VerbatimChar"/>
        </w:rPr>
        <w:t xml:space="preserve">| order by DaysOverdue desc</w:t>
      </w:r>
    </w:p>
    <w:bookmarkEnd w:id="37"/>
    <w:bookmarkStart w:id="38" w:name="evidence-manifest"/>
    <w:p>
      <w:pPr>
        <w:pStyle w:val="Heading2"/>
      </w:pPr>
      <w:r>
        <w:t xml:space="preserve">8.2 Evidence Manifest</w:t>
      </w:r>
    </w:p>
    <w:p>
      <w:pPr>
        <w:pStyle w:val="FirstParagraph"/>
      </w:pPr>
      <w:r>
        <w:t xml:space="preserve">Every SBOM generation run produces a signed manifest:</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"2026-07-03T00:00:00Z"</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"sbom_hash_sha256"</w:t>
      </w:r>
      <w:r>
        <w:rPr>
          <w:rStyle w:val="FunctionTok"/>
        </w:rPr>
        <w:t xml:space="preserve">:</w:t>
      </w:r>
      <w:r>
        <w:rPr>
          <w:rStyle w:val="NormalTok"/>
        </w:rPr>
        <w:t xml:space="preserve"> </w:t>
      </w:r>
      <w:r>
        <w:rPr>
          <w:rStyle w:val="StringTok"/>
        </w:rPr>
        <w:t xml:space="preserve">"e3b0c44298fc1c149..."</w:t>
      </w:r>
      <w:r>
        <w:rPr>
          <w:rStyle w:val="FunctionTok"/>
        </w:rPr>
        <w:t xml:space="preserve">,</w:t>
      </w:r>
      <w:r>
        <w:br/>
      </w:r>
      <w:r>
        <w:rPr>
          <w:rStyle w:val="NormalTok"/>
        </w:rPr>
        <w:t xml:space="preserve">  </w:t>
      </w:r>
      <w:r>
        <w:rPr>
          <w:rStyle w:val="DataTypeTok"/>
        </w:rPr>
        <w:t xml:space="preserve">"vdr_hash_sha256"</w:t>
      </w:r>
      <w:r>
        <w:rPr>
          <w:rStyle w:val="FunctionTok"/>
        </w:rPr>
        <w:t xml:space="preserve">:</w:t>
      </w:r>
      <w:r>
        <w:rPr>
          <w:rStyle w:val="NormalTok"/>
        </w:rPr>
        <w:t xml:space="preserve"> </w:t>
      </w:r>
      <w:r>
        <w:rPr>
          <w:rStyle w:val="StringTok"/>
        </w:rPr>
        <w:t xml:space="preserve">"a87ff679a2f3e71d9..."</w:t>
      </w:r>
      <w:r>
        <w:rPr>
          <w:rStyle w:val="FunctionTok"/>
        </w:rPr>
        <w:t xml:space="preserve">,</w:t>
      </w:r>
      <w:r>
        <w:br/>
      </w:r>
      <w:r>
        <w:rPr>
          <w:rStyle w:val="NormalTok"/>
        </w:rPr>
        <w:t xml:space="preserve">  </w:t>
      </w:r>
      <w:r>
        <w:rPr>
          <w:rStyle w:val="DataTypeTok"/>
        </w:rPr>
        <w:t xml:space="preserve">"vex_hash_sha256"</w:t>
      </w:r>
      <w:r>
        <w:rPr>
          <w:rStyle w:val="FunctionTok"/>
        </w:rPr>
        <w:t xml:space="preserve">:</w:t>
      </w:r>
      <w:r>
        <w:rPr>
          <w:rStyle w:val="NormalTok"/>
        </w:rPr>
        <w:t xml:space="preserve"> </w:t>
      </w:r>
      <w:r>
        <w:rPr>
          <w:rStyle w:val="StringTok"/>
        </w:rPr>
        <w:t xml:space="preserve">"1679091c5a880faf6..."</w:t>
      </w:r>
      <w:r>
        <w:rPr>
          <w:rStyle w:val="FunctionTok"/>
        </w:rPr>
        <w:t xml:space="preserve">,</w:t>
      </w:r>
      <w:r>
        <w:br/>
      </w:r>
      <w:r>
        <w:rPr>
          <w:rStyle w:val="NormalTok"/>
        </w:rPr>
        <w:t xml:space="preserve">  </w:t>
      </w:r>
      <w:r>
        <w:rPr>
          <w:rStyle w:val="DataTypeTok"/>
        </w:rPr>
        <w:t xml:space="preserve">"component_count"</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"cve_count_critical"</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"cve_count_high"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"kev_hits"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"slsa_level"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"slsa_provenance_url"</w:t>
      </w:r>
      <w:r>
        <w:rPr>
          <w:rStyle w:val="FunctionTok"/>
        </w:rPr>
        <w:t xml:space="preserve">:</w:t>
      </w:r>
      <w:r>
        <w:rPr>
          <w:rStyle w:val="NormalTok"/>
        </w:rPr>
        <w:t xml:space="preserve"> </w:t>
      </w:r>
      <w:r>
        <w:rPr>
          <w:rStyle w:val="StringTok"/>
        </w:rPr>
        <w:t xml:space="preserve">"https://github.com/WhalerMike/uiao/attestations/..."</w:t>
      </w:r>
      <w:r>
        <w:rPr>
          <w:rStyle w:val="FunctionTok"/>
        </w:rPr>
        <w:t xml:space="preserve">,</w:t>
      </w:r>
      <w:r>
        <w:br/>
      </w:r>
      <w:r>
        <w:rPr>
          <w:rStyle w:val="NormalTok"/>
        </w:rPr>
        <w:t xml:space="preserve">  </w:t>
      </w:r>
      <w:r>
        <w:rPr>
          <w:rStyle w:val="DataTypeTok"/>
        </w:rPr>
        <w:t xml:space="preserve">"storage_uri"</w:t>
      </w:r>
      <w:r>
        <w:rPr>
          <w:rStyle w:val="FunctionTok"/>
        </w:rPr>
        <w:t xml:space="preserve">:</w:t>
      </w:r>
      <w:r>
        <w:rPr>
          <w:rStyle w:val="NormalTok"/>
        </w:rPr>
        <w:t xml:space="preserve"> </w:t>
      </w:r>
      <w:r>
        <w:rPr>
          <w:rStyle w:val="StringTok"/>
        </w:rPr>
        <w:t xml:space="preserve">"https://sbomarchive.blob.core.windows.net/sbom-archive/2026/07/03/sbom-abc123.xml"</w:t>
      </w:r>
      <w:r>
        <w:br/>
      </w:r>
      <w:r>
        <w:rPr>
          <w:rStyle w:val="FunctionTok"/>
        </w:rPr>
        <w:t xml:space="preserve">}</w:t>
      </w:r>
    </w:p>
    <w:p>
      <w:r>
        <w:pict>
          <v:rect style="width:0;height:1.5pt" o:hralign="center" o:hrstd="t" o:hr="t"/>
        </w:pict>
      </w:r>
    </w:p>
    <w:bookmarkEnd w:id="38"/>
    <w:bookmarkEnd w:id="39"/>
    <w:bookmarkStart w:id="40" w:name="implementation-checklist"/>
    <w:p>
      <w:pPr>
        <w:pStyle w:val="Heading1"/>
      </w:pPr>
      <w:r>
        <w:t xml:space="preserve">9. Implementation Checklist</w:t>
      </w:r>
    </w:p>
    <w:p>
      <w:pPr>
        <w:pStyle w:val="TableCaption"/>
      </w:pPr>
      <w:r>
        <w:t xml:space="preserve">Part 15 — Implementation Checklist</w:t>
      </w:r>
    </w:p>
    <w:tbl>
      <w:tblPr>
        <w:tblStyle w:val="Table"/>
        <w:tblW w:type="pct" w:w="5000"/>
        <w:tblLayout w:type="fixed"/>
        <w:tblLook w:firstRow="1" w:lastRow="0" w:firstColumn="0" w:lastColumn="0" w:noHBand="0" w:noVBand="0" w:val="0020"/>
        <w:tblCaption w:val="Part 15 — Implementation Checklist"/>
      </w:tblPr>
      <w:tblGrid>
        <w:gridCol w:w="1980"/>
        <w:gridCol w:w="1980"/>
        <w:gridCol w:w="1980"/>
        <w:gridCol w:w="1980"/>
      </w:tblGrid>
      <w:tr>
        <w:trPr>
          <w:tblHeader w:val="on"/>
        </w:trPr>
        <w:tc>
          <w:tcPr/>
          <w:p>
            <w:pPr>
              <w:pStyle w:val="Compact"/>
            </w:pPr>
            <w:r>
              <w:t xml:space="preserve">Phase</w:t>
            </w:r>
          </w:p>
        </w:tc>
        <w:tc>
          <w:tcPr/>
          <w:p>
            <w:pPr>
              <w:pStyle w:val="Compact"/>
            </w:pPr>
            <w:r>
              <w:t xml:space="preserve">Action</w:t>
            </w:r>
          </w:p>
        </w:tc>
        <w:tc>
          <w:tcPr/>
          <w:p>
            <w:pPr>
              <w:pStyle w:val="Compact"/>
            </w:pPr>
            <w:r>
              <w:t xml:space="preserve">Owner</w:t>
            </w:r>
          </w:p>
        </w:tc>
        <w:tc>
          <w:tcPr/>
          <w:p>
            <w:pPr>
              <w:pStyle w:val="Compact"/>
            </w:pPr>
            <w:r>
              <w:t xml:space="preserve">Target</w:t>
            </w:r>
          </w:p>
        </w:tc>
      </w:tr>
      <w:tr>
        <w:tc>
          <w:tcPr/>
          <w:p>
            <w:pPr>
              <w:pStyle w:val="Compact"/>
            </w:pPr>
            <w:r>
              <w:rPr>
                <w:b/>
                <w:bCs/>
              </w:rPr>
              <w:t xml:space="preserve">Immediate</w:t>
            </w:r>
          </w:p>
        </w:tc>
        <w:tc>
          <w:tcPr/>
          <w:p>
            <w:pPr>
              <w:pStyle w:val="Compact"/>
            </w:pPr>
            <w:r>
              <w:t xml:space="preserve">Install Syft and Grype in GitHub Actions CI</w:t>
            </w:r>
          </w:p>
        </w:tc>
        <w:tc>
          <w:tcPr/>
          <w:p>
            <w:pPr>
              <w:pStyle w:val="Compact"/>
            </w:pPr>
            <w:r>
              <w:t xml:space="preserve">DevOps</w:t>
            </w:r>
          </w:p>
        </w:tc>
        <w:tc>
          <w:tcPr/>
          <w:p>
            <w:pPr>
              <w:pStyle w:val="Compact"/>
            </w:pPr>
            <w:r>
              <w:t xml:space="preserve">Jul 2026</w:t>
            </w:r>
          </w:p>
        </w:tc>
      </w:tr>
      <w:tr>
        <w:tc>
          <w:tcPr/>
          <w:p>
            <w:pPr>
              <w:pStyle w:val="Compact"/>
            </w:pPr>
            <w:r>
              <w:rPr>
                <w:b/>
                <w:bCs/>
              </w:rPr>
              <w:t xml:space="preserve">Immediate</w:t>
            </w:r>
          </w:p>
        </w:tc>
        <w:tc>
          <w:tcPr/>
          <w:p>
            <w:pPr>
              <w:pStyle w:val="Compact"/>
            </w:pPr>
            <w:r>
              <w:t xml:space="preserve">Generate initial SBOM for all production repos</w:t>
            </w:r>
          </w:p>
        </w:tc>
        <w:tc>
          <w:tcPr/>
          <w:p>
            <w:pPr>
              <w:pStyle w:val="Compact"/>
            </w:pPr>
            <w:r>
              <w:t xml:space="preserve">DevOps</w:t>
            </w:r>
          </w:p>
        </w:tc>
        <w:tc>
          <w:tcPr/>
          <w:p>
            <w:pPr>
              <w:pStyle w:val="Compact"/>
            </w:pPr>
            <w:r>
              <w:t xml:space="preserve">Jul 2026</w:t>
            </w:r>
          </w:p>
        </w:tc>
      </w:tr>
      <w:tr>
        <w:tc>
          <w:tcPr/>
          <w:p>
            <w:pPr>
              <w:pStyle w:val="Compact"/>
            </w:pPr>
            <w:r>
              <w:rPr>
                <w:b/>
                <w:bCs/>
              </w:rPr>
              <w:t xml:space="preserve">Immediate</w:t>
            </w:r>
          </w:p>
        </w:tc>
        <w:tc>
          <w:tcPr/>
          <w:p>
            <w:pPr>
              <w:pStyle w:val="Compact"/>
            </w:pPr>
            <w:r>
              <w:t xml:space="preserve">Register with MSRC, Cisco PSIRT, Infoblox security portals</w:t>
            </w:r>
          </w:p>
        </w:tc>
        <w:tc>
          <w:tcPr/>
          <w:p>
            <w:pPr>
              <w:pStyle w:val="Compact"/>
            </w:pPr>
            <w:r>
              <w:t xml:space="preserve">ISSO</w:t>
            </w:r>
          </w:p>
        </w:tc>
        <w:tc>
          <w:tcPr/>
          <w:p>
            <w:pPr>
              <w:pStyle w:val="Compact"/>
            </w:pPr>
            <w:r>
              <w:t xml:space="preserve">Jul 2026</w:t>
            </w:r>
          </w:p>
        </w:tc>
      </w:tr>
      <w:tr>
        <w:tc>
          <w:tcPr/>
          <w:p>
            <w:pPr>
              <w:pStyle w:val="Compact"/>
            </w:pPr>
            <w:r>
              <w:rPr>
                <w:b/>
                <w:bCs/>
              </w:rPr>
              <w:t xml:space="preserve">Phase 1</w:t>
            </w:r>
          </w:p>
        </w:tc>
        <w:tc>
          <w:tcPr/>
          <w:p>
            <w:pPr>
              <w:pStyle w:val="Compact"/>
            </w:pPr>
            <w:r>
              <w:t xml:space="preserve">Author initial VEX for all critical/high CVEs</w:t>
            </w:r>
          </w:p>
        </w:tc>
        <w:tc>
          <w:tcPr/>
          <w:p>
            <w:pPr>
              <w:pStyle w:val="Compact"/>
            </w:pPr>
            <w:r>
              <w:t xml:space="preserve">Security Team</w:t>
            </w:r>
          </w:p>
        </w:tc>
        <w:tc>
          <w:tcPr/>
          <w:p>
            <w:pPr>
              <w:pStyle w:val="Compact"/>
            </w:pPr>
            <w:r>
              <w:t xml:space="preserve">Aug 2026</w:t>
            </w:r>
          </w:p>
        </w:tc>
      </w:tr>
      <w:tr>
        <w:tc>
          <w:tcPr/>
          <w:p>
            <w:pPr>
              <w:pStyle w:val="Compact"/>
            </w:pPr>
            <w:r>
              <w:rPr>
                <w:b/>
                <w:bCs/>
              </w:rPr>
              <w:t xml:space="preserve">Phase 1</w:t>
            </w:r>
          </w:p>
        </w:tc>
        <w:tc>
          <w:tcPr/>
          <w:p>
            <w:pPr>
              <w:pStyle w:val="Compact"/>
            </w:pPr>
            <w:r>
              <w:t xml:space="preserve">Submit SBOM + VDR to CISA VEX Portal (test submission)</w:t>
            </w:r>
          </w:p>
        </w:tc>
        <w:tc>
          <w:tcPr/>
          <w:p>
            <w:pPr>
              <w:pStyle w:val="Compact"/>
            </w:pPr>
            <w:r>
              <w:t xml:space="preserve">ISSO</w:t>
            </w:r>
          </w:p>
        </w:tc>
        <w:tc>
          <w:tcPr/>
          <w:p>
            <w:pPr>
              <w:pStyle w:val="Compact"/>
            </w:pPr>
            <w:r>
              <w:t xml:space="preserve">Aug 2026</w:t>
            </w:r>
          </w:p>
        </w:tc>
      </w:tr>
      <w:tr>
        <w:tc>
          <w:tcPr/>
          <w:p>
            <w:pPr>
              <w:pStyle w:val="Compact"/>
            </w:pPr>
            <w:r>
              <w:rPr>
                <w:b/>
                <w:bCs/>
              </w:rPr>
              <w:t xml:space="preserve">Phase 1</w:t>
            </w:r>
          </w:p>
        </w:tc>
        <w:tc>
          <w:tcPr/>
          <w:p>
            <w:pPr>
              <w:pStyle w:val="Compact"/>
            </w:pPr>
            <w:r>
              <w:t xml:space="preserve">Update acquisition policy to require SBOM from suppliers</w:t>
            </w:r>
          </w:p>
        </w:tc>
        <w:tc>
          <w:tcPr/>
          <w:p>
            <w:pPr>
              <w:pStyle w:val="Compact"/>
            </w:pPr>
            <w:r>
              <w:t xml:space="preserve">Contracting</w:t>
            </w:r>
          </w:p>
        </w:tc>
        <w:tc>
          <w:tcPr/>
          <w:p>
            <w:pPr>
              <w:pStyle w:val="Compact"/>
            </w:pPr>
            <w:r>
              <w:t xml:space="preserve">Sep 2026</w:t>
            </w:r>
          </w:p>
        </w:tc>
      </w:tr>
      <w:tr>
        <w:tc>
          <w:tcPr/>
          <w:p>
            <w:pPr>
              <w:pStyle w:val="Compact"/>
            </w:pPr>
            <w:r>
              <w:rPr>
                <w:b/>
                <w:bCs/>
              </w:rPr>
              <w:t xml:space="preserve">Phase 2</w:t>
            </w:r>
          </w:p>
        </w:tc>
        <w:tc>
          <w:tcPr/>
          <w:p>
            <w:pPr>
              <w:pStyle w:val="Compact"/>
            </w:pPr>
            <w:r>
              <w:t xml:space="preserve">Achieve SLSA Level 2 for all production release workflows</w:t>
            </w:r>
          </w:p>
        </w:tc>
        <w:tc>
          <w:tcPr/>
          <w:p>
            <w:pPr>
              <w:pStyle w:val="Compact"/>
            </w:pPr>
            <w:r>
              <w:t xml:space="preserve">DevOps</w:t>
            </w:r>
          </w:p>
        </w:tc>
        <w:tc>
          <w:tcPr/>
          <w:p>
            <w:pPr>
              <w:pStyle w:val="Compact"/>
            </w:pPr>
            <w:r>
              <w:t xml:space="preserve">Oct 2026</w:t>
            </w:r>
          </w:p>
        </w:tc>
      </w:tr>
      <w:tr>
        <w:tc>
          <w:tcPr/>
          <w:p>
            <w:pPr>
              <w:pStyle w:val="Compact"/>
            </w:pPr>
            <w:r>
              <w:rPr>
                <w:b/>
                <w:bCs/>
              </w:rPr>
              <w:t xml:space="preserve">Phase 3</w:t>
            </w:r>
          </w:p>
        </w:tc>
        <w:tc>
          <w:tcPr/>
          <w:p>
            <w:pPr>
              <w:pStyle w:val="Compact"/>
            </w:pPr>
            <w:r>
              <w:t xml:space="preserve">Complete VEX quarterly review cycle</w:t>
            </w:r>
          </w:p>
        </w:tc>
        <w:tc>
          <w:tcPr/>
          <w:p>
            <w:pPr>
              <w:pStyle w:val="Compact"/>
            </w:pPr>
            <w:r>
              <w:t xml:space="preserve">Security Team</w:t>
            </w:r>
          </w:p>
        </w:tc>
        <w:tc>
          <w:tcPr/>
          <w:p>
            <w:pPr>
              <w:pStyle w:val="Compact"/>
            </w:pPr>
            <w:r>
              <w:t xml:space="preserve">Nov 2026</w:t>
            </w:r>
          </w:p>
        </w:tc>
      </w:tr>
      <w:tr>
        <w:tc>
          <w:tcPr/>
          <w:p>
            <w:pPr>
              <w:pStyle w:val="Compact"/>
            </w:pPr>
            <w:r>
              <w:rPr>
                <w:b/>
                <w:bCs/>
              </w:rPr>
              <w:t xml:space="preserve">Phase 4</w:t>
            </w:r>
          </w:p>
        </w:tc>
        <w:tc>
          <w:tcPr/>
          <w:p>
            <w:pPr>
              <w:pStyle w:val="Compact"/>
            </w:pPr>
            <w:r>
              <w:t xml:space="preserve">Final BOD 26-04 VDR/VER submission</w:t>
            </w:r>
          </w:p>
        </w:tc>
        <w:tc>
          <w:tcPr/>
          <w:p>
            <w:pPr>
              <w:pStyle w:val="Compact"/>
            </w:pPr>
            <w:r>
              <w:t xml:space="preserve">ISSO</w:t>
            </w:r>
          </w:p>
        </w:tc>
        <w:tc>
          <w:tcPr/>
          <w:p>
            <w:pPr>
              <w:pStyle w:val="Compact"/>
            </w:pPr>
            <w:r>
              <w:t xml:space="preserve">Dec 7, 2026</w:t>
            </w:r>
          </w:p>
        </w:tc>
      </w:tr>
    </w:tbl>
    <w:p>
      <w:r>
        <w:pict>
          <v:rect style="width:0;height:1.5pt" o:hralign="center" o:hrstd="t" o:hr="t"/>
        </w:pict>
      </w:r>
    </w:p>
    <w:bookmarkEnd w:id="40"/>
    <w:bookmarkStart w:id="41" w:name="technology-stack-summary"/>
    <w:p>
      <w:pPr>
        <w:pStyle w:val="Heading1"/>
      </w:pPr>
      <w:r>
        <w:t xml:space="preserve">10. Technology Stack Summary</w:t>
      </w:r>
    </w:p>
    <w:p>
      <w:pPr>
        <w:pStyle w:val="TableCaption"/>
      </w:pPr>
      <w:r>
        <w:t xml:space="preserve">Part 15 — Technology Stack</w:t>
      </w:r>
    </w:p>
    <w:tbl>
      <w:tblPr>
        <w:tblStyle w:val="Table"/>
        <w:tblW w:type="pct" w:w="5000"/>
        <w:tblLayout w:type="fixed"/>
        <w:tblLook w:firstRow="1" w:lastRow="0" w:firstColumn="0" w:lastColumn="0" w:noHBand="0" w:noVBand="0" w:val="0020"/>
        <w:tblCaption w:val="Part 15 — Technology Stack"/>
      </w:tblPr>
      <w:tblGrid>
        <w:gridCol w:w="1980"/>
        <w:gridCol w:w="1980"/>
        <w:gridCol w:w="1980"/>
        <w:gridCol w:w="1980"/>
      </w:tblGrid>
      <w:tr>
        <w:trPr>
          <w:tblHeader w:val="on"/>
        </w:trPr>
        <w:tc>
          <w:tcPr/>
          <w:p>
            <w:pPr>
              <w:pStyle w:val="Compact"/>
            </w:pPr>
            <w:r>
              <w:t xml:space="preserve">Component</w:t>
            </w:r>
          </w:p>
        </w:tc>
        <w:tc>
          <w:tcPr/>
          <w:p>
            <w:pPr>
              <w:pStyle w:val="Compact"/>
            </w:pPr>
            <w:r>
              <w:t xml:space="preserve">Tool</w:t>
            </w:r>
          </w:p>
        </w:tc>
        <w:tc>
          <w:tcPr/>
          <w:p>
            <w:pPr>
              <w:pStyle w:val="Compact"/>
            </w:pPr>
            <w:r>
              <w:t xml:space="preserve">Format</w:t>
            </w:r>
          </w:p>
        </w:tc>
        <w:tc>
          <w:tcPr/>
          <w:p>
            <w:pPr>
              <w:pStyle w:val="Compact"/>
            </w:pPr>
            <w:r>
              <w:t xml:space="preserve">Standard</w:t>
            </w:r>
          </w:p>
        </w:tc>
      </w:tr>
      <w:tr>
        <w:tc>
          <w:tcPr/>
          <w:p>
            <w:pPr>
              <w:pStyle w:val="Compact"/>
            </w:pPr>
            <w:r>
              <w:t xml:space="preserve">SBOM Generation</w:t>
            </w:r>
          </w:p>
        </w:tc>
        <w:tc>
          <w:tcPr/>
          <w:p>
            <w:pPr>
              <w:pStyle w:val="Compact"/>
            </w:pPr>
            <w:r>
              <w:t xml:space="preserve">Syft (Anchore)</w:t>
            </w:r>
          </w:p>
        </w:tc>
        <w:tc>
          <w:tcPr/>
          <w:p>
            <w:pPr>
              <w:pStyle w:val="Compact"/>
            </w:pPr>
            <w:r>
              <w:t xml:space="preserve">CycloneDX 1.6 XML</w:t>
            </w:r>
          </w:p>
        </w:tc>
        <w:tc>
          <w:tcPr/>
          <w:p>
            <w:pPr>
              <w:pStyle w:val="Compact"/>
            </w:pPr>
            <w:r>
              <w:t xml:space="preserve">NTIA minimum elements; CISA preferred</w:t>
            </w:r>
          </w:p>
        </w:tc>
      </w:tr>
      <w:tr>
        <w:tc>
          <w:tcPr/>
          <w:p>
            <w:pPr>
              <w:pStyle w:val="Compact"/>
            </w:pPr>
            <w:r>
              <w:t xml:space="preserve">Vulnerability Scan</w:t>
            </w:r>
          </w:p>
        </w:tc>
        <w:tc>
          <w:tcPr/>
          <w:p>
            <w:pPr>
              <w:pStyle w:val="Compact"/>
            </w:pPr>
            <w:r>
              <w:t xml:space="preserve">Grype (Anchore)</w:t>
            </w:r>
          </w:p>
        </w:tc>
        <w:tc>
          <w:tcPr/>
          <w:p>
            <w:pPr>
              <w:pStyle w:val="Compact"/>
            </w:pPr>
            <w:r>
              <w:t xml:space="preserve">CycloneDX VDR</w:t>
            </w:r>
          </w:p>
        </w:tc>
        <w:tc>
          <w:tcPr/>
          <w:p>
            <w:pPr>
              <w:pStyle w:val="Compact"/>
            </w:pPr>
            <w:r>
              <w:t xml:space="preserve">NVD CVE data; CVSS 3.1</w:t>
            </w:r>
          </w:p>
        </w:tc>
      </w:tr>
      <w:tr>
        <w:tc>
          <w:tcPr/>
          <w:p>
            <w:pPr>
              <w:pStyle w:val="Compact"/>
            </w:pPr>
            <w:r>
              <w:t xml:space="preserve">VEX Authoring</w:t>
            </w:r>
          </w:p>
        </w:tc>
        <w:tc>
          <w:tcPr/>
          <w:p>
            <w:pPr>
              <w:pStyle w:val="Compact"/>
            </w:pPr>
            <w:r>
              <w:t xml:space="preserve">OpenVEX CLI</w:t>
            </w:r>
          </w:p>
        </w:tc>
        <w:tc>
          <w:tcPr/>
          <w:p>
            <w:pPr>
              <w:pStyle w:val="Compact"/>
            </w:pPr>
            <w:r>
              <w:t xml:space="preserve">OpenVEX JSON</w:t>
            </w:r>
          </w:p>
        </w:tc>
        <w:tc>
          <w:tcPr/>
          <w:p>
            <w:pPr>
              <w:pStyle w:val="Compact"/>
            </w:pPr>
            <w:r>
              <w:t xml:space="preserve">CISA VEX format; submitted via VEX Portal</w:t>
            </w:r>
          </w:p>
        </w:tc>
      </w:tr>
      <w:tr>
        <w:tc>
          <w:tcPr/>
          <w:p>
            <w:pPr>
              <w:pStyle w:val="Compact"/>
            </w:pPr>
            <w:r>
              <w:t xml:space="preserve">Container Signing</w:t>
            </w:r>
          </w:p>
        </w:tc>
        <w:tc>
          <w:tcPr/>
          <w:p>
            <w:pPr>
              <w:pStyle w:val="Compact"/>
            </w:pPr>
            <w:r>
              <w:t xml:space="preserve">Cosign (sigstore)</w:t>
            </w:r>
          </w:p>
        </w:tc>
        <w:tc>
          <w:tcPr/>
          <w:p>
            <w:pPr>
              <w:pStyle w:val="Compact"/>
            </w:pPr>
            <w:r>
              <w:t xml:space="preserve">OCI attestation</w:t>
            </w:r>
          </w:p>
        </w:tc>
        <w:tc>
          <w:tcPr/>
          <w:p>
            <w:pPr>
              <w:pStyle w:val="Compact"/>
            </w:pPr>
            <w:r>
              <w:t xml:space="preserve">SLSA provenance</w:t>
            </w:r>
          </w:p>
        </w:tc>
      </w:tr>
      <w:tr>
        <w:tc>
          <w:tcPr/>
          <w:p>
            <w:pPr>
              <w:pStyle w:val="Compact"/>
            </w:pPr>
            <w:r>
              <w:t xml:space="preserve">CI Integration</w:t>
            </w:r>
          </w:p>
        </w:tc>
        <w:tc>
          <w:tcPr/>
          <w:p>
            <w:pPr>
              <w:pStyle w:val="Compact"/>
            </w:pPr>
            <w:r>
              <w:t xml:space="preserve">GitHub Actions</w:t>
            </w:r>
          </w:p>
        </w:tc>
        <w:tc>
          <w:tcPr/>
          <w:p>
            <w:pPr>
              <w:pStyle w:val="Compact"/>
            </w:pPr>
            <w:r>
              <w:t xml:space="preserve">YAML workflow</w:t>
            </w:r>
          </w:p>
        </w:tc>
        <w:tc>
          <w:tcPr/>
          <w:p>
            <w:pPr>
              <w:pStyle w:val="Compact"/>
            </w:pPr>
            <w:r>
              <w:t xml:space="preserve">SLSA Level 2 build</w:t>
            </w:r>
          </w:p>
        </w:tc>
      </w:tr>
      <w:tr>
        <w:tc>
          <w:tcPr/>
          <w:p>
            <w:pPr>
              <w:pStyle w:val="Compact"/>
            </w:pPr>
            <w:r>
              <w:t xml:space="preserve">Archive Storage</w:t>
            </w:r>
          </w:p>
        </w:tc>
        <w:tc>
          <w:tcPr/>
          <w:p>
            <w:pPr>
              <w:pStyle w:val="Compact"/>
            </w:pPr>
            <w:r>
              <w:t xml:space="preserve">Azure Blob immutable tier</w:t>
            </w:r>
          </w:p>
        </w:tc>
        <w:tc>
          <w:tcPr/>
          <w:p>
            <w:pPr>
              <w:pStyle w:val="Compact"/>
            </w:pPr>
            <w:r>
              <w:t xml:space="preserve">Archive tier</w:t>
            </w:r>
          </w:p>
        </w:tc>
        <w:tc>
          <w:tcPr/>
          <w:p>
            <w:pPr>
              <w:pStyle w:val="Compact"/>
            </w:pPr>
            <w:r>
              <w:t xml:space="preserve">7-year NARA retention</w:t>
            </w:r>
          </w:p>
        </w:tc>
      </w:tr>
      <w:tr>
        <w:tc>
          <w:tcPr/>
          <w:p>
            <w:pPr>
              <w:pStyle w:val="Compact"/>
            </w:pPr>
            <w:r>
              <w:t xml:space="preserve">Monitoring</w:t>
            </w:r>
          </w:p>
        </w:tc>
        <w:tc>
          <w:tcPr/>
          <w:p>
            <w:pPr>
              <w:pStyle w:val="Compact"/>
            </w:pPr>
            <w:r>
              <w:t xml:space="preserve">Microsoft Sentinel (Part 13)</w:t>
            </w:r>
          </w:p>
        </w:tc>
        <w:tc>
          <w:tcPr/>
          <w:p>
            <w:pPr>
              <w:pStyle w:val="Compact"/>
            </w:pPr>
            <w:r>
              <w:t xml:space="preserve">KQL analytics</w:t>
            </w:r>
          </w:p>
        </w:tc>
        <w:tc>
          <w:tcPr/>
          <w:p>
            <w:pPr>
              <w:pStyle w:val="Compact"/>
            </w:pPr>
            <w:r>
              <w:t xml:space="preserve">KSI-MLA evidence chain</w:t>
            </w:r>
          </w:p>
        </w:tc>
      </w:tr>
      <w:tr>
        <w:tc>
          <w:tcPr/>
          <w:p>
            <w:pPr>
              <w:pStyle w:val="Compact"/>
            </w:pPr>
            <w:r>
              <w:t xml:space="preserve">KEV Integration</w:t>
            </w:r>
          </w:p>
        </w:tc>
        <w:tc>
          <w:tcPr/>
          <w:p>
            <w:pPr>
              <w:pStyle w:val="Compact"/>
            </w:pPr>
            <w:r>
              <w:t xml:space="preserve">CISA KEV JSON feed</w:t>
            </w:r>
          </w:p>
        </w:tc>
        <w:tc>
          <w:tcPr/>
          <w:p>
            <w:pPr>
              <w:pStyle w:val="Compact"/>
            </w:pPr>
            <w:r>
              <w:t xml:space="preserve">JSON</w:t>
            </w:r>
          </w:p>
        </w:tc>
        <w:tc>
          <w:tcPr/>
          <w:p>
            <w:pPr>
              <w:pStyle w:val="Compact"/>
            </w:pPr>
            <w:r>
              <w:t xml:space="preserve">BOD 22-01 14-day SLA</w:t>
            </w:r>
          </w:p>
        </w:tc>
      </w:tr>
    </w:tbl>
    <w:p>
      <w:r>
        <w:pict>
          <v:rect style="width:0;height:1.5pt" o:hralign="center" o:hrstd="t" o:hr="t"/>
        </w:pict>
      </w:r>
    </w:p>
    <w:bookmarkEnd w:id="41"/>
    <w:bookmarkStart w:id="44" w:name="references"/>
    <w:p>
      <w:pPr>
        <w:pStyle w:val="Heading1"/>
      </w:pPr>
      <w:r>
        <w:t xml:space="preserve">11. References</w:t>
      </w:r>
    </w:p>
    <w:p>
      <w:pPr>
        <w:pStyle w:val="TableCaption"/>
      </w:pPr>
      <w:r>
        <w:t xml:space="preserve">Reference Documents</w:t>
      </w:r>
    </w:p>
    <w:tbl>
      <w:tblPr>
        <w:tblStyle w:val="Table"/>
        <w:tblW w:type="pct" w:w="5000"/>
        <w:tblLayout w:type="fixed"/>
        <w:tblLook w:firstRow="1" w:lastRow="0" w:firstColumn="0" w:lastColumn="0" w:noHBand="0" w:noVBand="0" w:val="0020"/>
        <w:tblCaption w:val="Reference Documents"/>
      </w:tblPr>
      <w:tblGrid>
        <w:gridCol w:w="3960"/>
        <w:gridCol w:w="3960"/>
      </w:tblGrid>
      <w:tr>
        <w:trPr>
          <w:tblHeader w:val="on"/>
        </w:trPr>
        <w:tc>
          <w:tcPr/>
          <w:p>
            <w:pPr>
              <w:pStyle w:val="Compact"/>
            </w:pPr>
            <w:r>
              <w:t xml:space="preserve">Document</w:t>
            </w:r>
          </w:p>
        </w:tc>
        <w:tc>
          <w:tcPr/>
          <w:p>
            <w:pPr>
              <w:pStyle w:val="Compact"/>
            </w:pPr>
            <w:r>
              <w:t xml:space="preserve">Relevance</w:t>
            </w:r>
          </w:p>
        </w:tc>
      </w:tr>
      <w:tr>
        <w:tc>
          <w:tcPr/>
          <w:p>
            <w:pPr>
              <w:pStyle w:val="Compact"/>
            </w:pPr>
            <w:r>
              <w:t xml:space="preserve">EO 14028 — Improving the Nation’s Cybersecurity (May 2021)</w:t>
            </w:r>
          </w:p>
        </w:tc>
        <w:tc>
          <w:tcPr/>
          <w:p>
            <w:pPr>
              <w:pStyle w:val="Compact"/>
            </w:pPr>
            <w:r>
              <w:t xml:space="preserve">Mandates SBOM for software sold to the federal government</w:t>
            </w:r>
          </w:p>
        </w:tc>
      </w:tr>
      <w:tr>
        <w:tc>
          <w:tcPr/>
          <w:p>
            <w:pPr>
              <w:pStyle w:val="Compact"/>
            </w:pPr>
            <w:r>
              <w:t xml:space="preserve">NIST SP 800-161r1 — Supply Chain Risk Management</w:t>
            </w:r>
          </w:p>
        </w:tc>
        <w:tc>
          <w:tcPr/>
          <w:p>
            <w:pPr>
              <w:pStyle w:val="Compact"/>
            </w:pPr>
            <w:r>
              <w:t xml:space="preserve">Normative reference for SR family controls</w:t>
            </w:r>
          </w:p>
        </w:tc>
      </w:tr>
      <w:tr>
        <w:tc>
          <w:tcPr/>
          <w:p>
            <w:pPr>
              <w:pStyle w:val="Compact"/>
            </w:pPr>
            <w:r>
              <w:t xml:space="preserve">CISA BOD 26-04</w:t>
            </w:r>
          </w:p>
        </w:tc>
        <w:tc>
          <w:tcPr/>
          <w:p>
            <w:pPr>
              <w:pStyle w:val="Compact"/>
            </w:pPr>
            <w:r>
              <w:t xml:space="preserve">VDR/VER deadline Dec 7, 2026; SBOM submission requirements</w:t>
            </w:r>
          </w:p>
        </w:tc>
      </w:tr>
      <w:tr>
        <w:tc>
          <w:tcPr/>
          <w:p>
            <w:pPr>
              <w:pStyle w:val="Compact"/>
            </w:pPr>
            <w:r>
              <w:t xml:space="preserve">CISA Minimum SBOM Elements (July 2021)</w:t>
            </w:r>
          </w:p>
        </w:tc>
        <w:tc>
          <w:tcPr/>
          <w:p>
            <w:pPr>
              <w:pStyle w:val="Compact"/>
            </w:pPr>
            <w:r>
              <w:t xml:space="preserve">NTIA-aligned minimum content requirements</w:t>
            </w:r>
          </w:p>
        </w:tc>
      </w:tr>
      <w:tr>
        <w:tc>
          <w:tcPr/>
          <w:p>
            <w:pPr>
              <w:pStyle w:val="Compact"/>
            </w:pPr>
            <w:r>
              <w:t xml:space="preserve">CycloneDX 1.6 Specification</w:t>
            </w:r>
          </w:p>
        </w:tc>
        <w:tc>
          <w:tcPr/>
          <w:p>
            <w:pPr>
              <w:pStyle w:val="Compact"/>
            </w:pPr>
            <w:r>
              <w:t xml:space="preserve">SBOM, VDR, and VEX document format</w:t>
            </w:r>
          </w:p>
        </w:tc>
      </w:tr>
      <w:tr>
        <w:tc>
          <w:tcPr/>
          <w:p>
            <w:pPr>
              <w:pStyle w:val="Compact"/>
            </w:pPr>
            <w:r>
              <w:t xml:space="preserve">OpenVEX v0.2.0</w:t>
            </w:r>
          </w:p>
        </w:tc>
        <w:tc>
          <w:tcPr/>
          <w:p>
            <w:pPr>
              <w:pStyle w:val="Compact"/>
            </w:pPr>
            <w:r>
              <w:t xml:space="preserve">VEX statement format and submission protocol</w:t>
            </w:r>
          </w:p>
        </w:tc>
      </w:tr>
      <w:tr>
        <w:tc>
          <w:tcPr/>
          <w:p>
            <w:pPr>
              <w:pStyle w:val="Compact"/>
            </w:pPr>
            <w:r>
              <w:t xml:space="preserve">SLSA v1.0 Framework</w:t>
            </w:r>
          </w:p>
        </w:tc>
        <w:tc>
          <w:tcPr/>
          <w:p>
            <w:pPr>
              <w:pStyle w:val="Compact"/>
            </w:pPr>
            <w:r>
              <w:t xml:space="preserve">Build integrity levels and provenance requirements</w:t>
            </w:r>
          </w:p>
        </w:tc>
      </w:tr>
      <w:tr>
        <w:tc>
          <w:tcPr/>
          <w:p>
            <w:pPr>
              <w:pStyle w:val="Compact"/>
            </w:pPr>
            <w:r>
              <w:t xml:space="preserve">NIST SP 800-53 Rev 5 — SR Family</w:t>
            </w:r>
          </w:p>
        </w:tc>
        <w:tc>
          <w:tcPr/>
          <w:p>
            <w:pPr>
              <w:pStyle w:val="Compact"/>
            </w:pPr>
            <w:r>
              <w:t xml:space="preserve">SR-1 through SR-11 control requirements</w:t>
            </w:r>
          </w:p>
        </w:tc>
      </w:tr>
      <w:tr>
        <w:tc>
          <w:tcPr/>
          <w:p>
            <w:pPr>
              <w:pStyle w:val="Compact"/>
            </w:pPr>
            <w:r>
              <w:t xml:space="preserve">FedRAMP 20x Consolidated Rules (Jun 25, 2026)</w:t>
            </w:r>
          </w:p>
        </w:tc>
        <w:tc>
          <w:tcPr/>
          <w:p>
            <w:pPr>
              <w:pStyle w:val="Compact"/>
            </w:pPr>
            <w:r>
              <w:t xml:space="preserve">KSI-SCR and KSI-CMT requirements</w:t>
            </w:r>
          </w:p>
        </w:tc>
      </w:tr>
      <w:tr>
        <w:tc>
          <w:tcPr/>
          <w:p>
            <w:pPr>
              <w:pStyle w:val="Compact"/>
            </w:pPr>
            <w:hyperlink r:id="rId42">
              <w:r>
                <w:rPr>
                  <w:rStyle w:val="Hyperlink"/>
                </w:rPr>
                <w:t xml:space="preserve">Book 11 — Vulnerability Management</w:t>
              </w:r>
            </w:hyperlink>
          </w:p>
        </w:tc>
        <w:tc>
          <w:tcPr/>
          <w:p>
            <w:pPr>
              <w:pStyle w:val="Compact"/>
            </w:pPr>
            <w:r>
              <w:t xml:space="preserve">Defender VM + KEV integration; extends to SBOM-sourced CVE triage</w:t>
            </w:r>
          </w:p>
        </w:tc>
      </w:tr>
      <w:tr>
        <w:tc>
          <w:tcPr/>
          <w:p>
            <w:pPr>
              <w:pStyle w:val="Compact"/>
            </w:pPr>
            <w:hyperlink r:id="rId43">
              <w:r>
                <w:rPr>
                  <w:rStyle w:val="Hyperlink"/>
                </w:rPr>
                <w:t xml:space="preserve">Book 13 — SIEM / XDR / Detection Engineering</w:t>
              </w:r>
            </w:hyperlink>
          </w:p>
        </w:tc>
        <w:tc>
          <w:tcPr/>
          <w:p>
            <w:pPr>
              <w:pStyle w:val="Compact"/>
            </w:pPr>
            <w:r>
              <w:t xml:space="preserve">Sentinel ingestion of SBOM/VDR telemetry; KQL analytic rules</w:t>
            </w:r>
          </w:p>
        </w:tc>
      </w:tr>
    </w:tbl>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25" Target="media/rId25.png" /><Relationship Type="http://schemas.openxmlformats.org/officeDocument/2006/relationships/hyperlink" Id="rId42" Target="Book_11_FedAAN_Vulnerability_Management.qmd" TargetMode="External" /><Relationship Type="http://schemas.openxmlformats.org/officeDocument/2006/relationships/hyperlink" Id="rId43" Target="Book_13_FedAAN_SIEM_XDR_Detection.qmd" TargetMode="External" /></Relationships>
</file>

<file path=word/_rels/footnotes.xml.rels><?xml version="1.0" encoding="UTF-8"?><Relationships xmlns="http://schemas.openxmlformats.org/package/2006/relationships"><Relationship Type="http://schemas.openxmlformats.org/officeDocument/2006/relationships/hyperlink" Id="rId42" Target="Book_11_FedAAN_Vulnerability_Management.qmd" TargetMode="External" /><Relationship Type="http://schemas.openxmlformats.org/officeDocument/2006/relationships/hyperlink" Id="rId43" Target="Book_13_FedAAN_SIEM_XDR_Detec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15 — Federal Application-Aware Networking — Part 15</dc:title>
  <dc:creator>SSA Cloud Services Team</dc:creator>
  <cp:keywords/>
  <dcterms:created xsi:type="dcterms:W3CDTF">2026-07-06T17:19:32Z</dcterms:created>
  <dcterms:modified xsi:type="dcterms:W3CDTF">2026-07-06T17:19:32Z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2026-07-03</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Supply Chain Risk Management: SBOM, VDR, and VER Framework for FedRAMP 20x and BOD 26-04</vt:lpwstr>
  </property>
  <property fmtid="{D5CDD505-2E9C-101B-9397-08002B2CF9AE}" pid="14" name="toc-title">
    <vt:lpwstr>Table of contents</vt:lpwstr>
  </property>
</Properties>
</file>