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Zero Trust Narrative</w:t>
      </w:r>
    </w:p>
    <w:p>
      <w:pPr>
        <w:spacing w:before="120" w:after="120" w:line="276" w:lineRule="auto"/>
      </w:pPr>
      <w:r>
        <w:rPr>
          <w:rFonts w:ascii="Calibri" w:hAnsi="Calibri"/>
          <w:b/>
          <w:i w:val="0"/>
          <w:sz w:val="22"/>
        </w:rPr>
        <w:t>Version 1.0</w:t>
      </w:r>
    </w:p>
    <w:p>
      <w:pPr>
        <w:pStyle w:val="Heading1"/>
      </w:pPr>
      <w:r>
        <w:rPr>
          <w:color w:val="1B3A5C"/>
        </w:rPr>
        <w:t>Identity as the Perimeter</w:t>
      </w:r>
    </w:p>
    <w:p>
      <w:pPr>
        <w:spacing w:before="120" w:after="120" w:line="276" w:lineRule="auto"/>
      </w:pPr>
      <w:r>
        <w:rPr>
          <w:rFonts w:ascii="Calibri" w:hAnsi="Calibri"/>
          <w:sz w:val="22"/>
        </w:rPr>
        <w:t>The Identity Control Plane is anchored in Entra ID and reinforced by ICAM governance, Conditional Access, Privileged Identity Management, and lifecycle automation. Identity becomes the authoritative source for access, addressing, certificates, and policy.</w:t>
      </w:r>
    </w:p>
    <w:p>
      <w:pPr>
        <w:pStyle w:val="Heading1"/>
      </w:pPr>
      <w:r>
        <w:rPr>
          <w:color w:val="1B3A5C"/>
        </w:rPr>
        <w:t>Governance as Automation</w:t>
      </w:r>
    </w:p>
    <w:p>
      <w:pPr>
        <w:spacing w:before="120" w:after="120" w:line="276" w:lineRule="auto"/>
      </w:pPr>
      <w:r>
        <w:rPr>
          <w:rFonts w:ascii="Calibri" w:hAnsi="Calibri"/>
          <w:sz w:val="22"/>
        </w:rPr>
        <w:t>Telemetry becomes an active control input for routing, security, and compliance decisions rather than a passive reporting mechanism.</w:t>
      </w:r>
    </w:p>
    <w:p>
      <w:pPr>
        <w:spacing w:before="120" w:after="120" w:line="276" w:lineRule="auto"/>
      </w:pPr>
      <w:r>
        <w:rPr>
          <w:rFonts w:ascii="Calibri" w:hAnsi="Calibri"/>
          <w:b w:val="0"/>
          <w:i/>
          <w:sz w:val="22"/>
        </w:rPr>
        <w:t>End of Zero Trust Narrative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