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X132b8bb6200c07219643754fc7452164e2538af"/>
    <w:p>
      <w:pPr>
        <w:pStyle w:val="Heading1"/>
      </w:pPr>
      <w:r>
        <w:t xml:space="preserve">UIAO vs OrgPath vs AAN — Roles, Overlaps, Complementarity, and Value</w:t>
      </w:r>
    </w:p>
    <w:p>
      <w:pPr>
        <w:pStyle w:val="BlockText"/>
      </w:pPr>
      <w:r>
        <w:rPr>
          <w:b/>
          <w:bCs/>
        </w:rPr>
        <w:t xml:space="preserve">Positioning note (inbox draft — not canon).</w:t>
      </w:r>
      <w:r>
        <w:t xml:space="preserve"> </w:t>
      </w:r>
      <w:r>
        <w:t xml:space="preserve">A grounded comparison of three</w:t>
      </w:r>
      <w:r>
        <w:t xml:space="preserve"> </w:t>
      </w:r>
      <w:r>
        <w:t xml:space="preserve">things that are easy to conflate because they share a doctrinal vocabulary</w:t>
      </w:r>
      <w:r>
        <w:t xml:space="preserve"> </w:t>
      </w:r>
      <w:r>
        <w:t xml:space="preserve">(HR-as-SSOT, Zero Trust, an authoritative</w:t>
      </w:r>
      <w:r>
        <w:t xml:space="preserve"> </w:t>
      </w:r>
      <w:r>
        <w:t xml:space="preserve">“naming/addressing plane”</w:t>
      </w:r>
      <w:r>
        <w:t xml:space="preserve">, NIST</w:t>
      </w:r>
      <w:r>
        <w:t xml:space="preserve"> </w:t>
      </w:r>
      <w:r>
        <w:t xml:space="preserve">800-53 / CM-8, explicit drift). Sourced from the repo’s own canon —</w:t>
      </w:r>
      <w:r>
        <w:t xml:space="preserve"> </w:t>
      </w:r>
      <w:r>
        <w:t xml:space="preserve">ADR-085 (UIAO positioning), the OrgPath/LocPath ADR chain, ADR-066 (AAN</w:t>
      </w:r>
      <w:r>
        <w:t xml:space="preserve"> </w:t>
      </w:r>
      <w:r>
        <w:t xml:space="preserve">concept), and the AAN corpus under</w:t>
      </w:r>
      <w:r>
        <w:t xml:space="preserve"> </w:t>
      </w:r>
      <w:r>
        <w:rPr>
          <w:rStyle w:val="VerbatimChar"/>
        </w:rPr>
        <w:t xml:space="preserve">inbox/</w:t>
      </w:r>
      <w:r>
        <w:t xml:space="preserve"> </w:t>
      </w:r>
      <w:r>
        <w:t xml:space="preserve">— with the key citations inline.</w:t>
      </w:r>
    </w:p>
    <w:bookmarkStart w:id="9" w:name="Xd11b29974aec36352428de7b1831211271d087a"/>
    <w:p>
      <w:pPr>
        <w:pStyle w:val="Heading2"/>
      </w:pPr>
      <w:r>
        <w:t xml:space="preserve">The one-line answer: three different altitudes, not three peers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UIAO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engine</w:t>
      </w:r>
      <w:r>
        <w:t xml:space="preserve"> </w:t>
      </w:r>
      <w:r>
        <w:t xml:space="preserve">— a vertical-agnostic</w:t>
      </w:r>
      <w:r>
        <w:t xml:space="preserve"> </w:t>
      </w:r>
      <w:r>
        <w:rPr>
          <w:i/>
          <w:iCs/>
        </w:rPr>
        <w:t xml:space="preserve">governance substrate</w:t>
      </w:r>
      <w:r>
        <w:t xml:space="preserve"> </w:t>
      </w:r>
      <w:r>
        <w:t xml:space="preserve">that</w:t>
      </w:r>
      <w:r>
        <w:t xml:space="preserve"> </w:t>
      </w:r>
      <w:r>
        <w:t xml:space="preserve">proves and generates compliance.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OrgPath</w:t>
      </w:r>
      <w:r>
        <w:t xml:space="preserve"> </w:t>
      </w:r>
      <w:r>
        <w:t xml:space="preserve">(with</w:t>
      </w:r>
      <w:r>
        <w:t xml:space="preserve"> </w:t>
      </w:r>
      <w:r>
        <w:rPr>
          <w:b/>
          <w:bCs/>
        </w:rPr>
        <w:t xml:space="preserve">LocPath</w:t>
      </w:r>
      <w:r>
        <w:t xml:space="preserve">) is a</w:t>
      </w:r>
      <w:r>
        <w:t xml:space="preserve"> </w:t>
      </w:r>
      <w:r>
        <w:rPr>
          <w:b/>
          <w:bCs/>
        </w:rPr>
        <w:t xml:space="preserve">plane inside that engine</w:t>
      </w:r>
      <w:r>
        <w:t xml:space="preserve"> </w:t>
      </w:r>
      <w:r>
        <w:t xml:space="preserve">— the governed</w:t>
      </w:r>
      <w:r>
        <w:t xml:space="preserve"> </w:t>
      </w:r>
      <w:r>
        <w:t xml:space="preserve">identity-addressing primitive.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AAN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content vertical that runs on top</w:t>
      </w:r>
      <w:r>
        <w:t xml:space="preserve"> </w:t>
      </w:r>
      <w:r>
        <w:t xml:space="preserve">— the federal</w:t>
      </w:r>
      <w:r>
        <w:t xml:space="preserve"> </w:t>
      </w:r>
      <w:r>
        <w:t xml:space="preserve">networking-modernization program whose evidence the engine consumes.</w:t>
      </w:r>
    </w:p>
    <w:p>
      <w:pPr>
        <w:pStyle w:val="FirstParagraph"/>
      </w:pPr>
      <w:r>
        <w:t xml:space="preserve">Comparing their</w:t>
      </w:r>
      <w:r>
        <w:t xml:space="preserve"> </w:t>
      </w:r>
      <w:r>
        <w:t xml:space="preserve">“roles”</w:t>
      </w:r>
      <w:r>
        <w:t xml:space="preserve"> </w:t>
      </w:r>
      <w:r>
        <w:t xml:space="preserve">as if they were competing products is the wrong frame;</w:t>
      </w:r>
      <w:r>
        <w:t xml:space="preserve"> </w:t>
      </w:r>
      <w:r>
        <w:t xml:space="preserve">the useful comparison is how the three layers relate.</w:t>
      </w:r>
    </w:p>
    <w:bookmarkEnd w:id="9"/>
    <w:bookmarkStart w:id="10" w:name="side-by-side"/>
    <w:p>
      <w:pPr>
        <w:pStyle w:val="Heading2"/>
      </w:pPr>
      <w:r>
        <w:t xml:space="preserve">Side-by-side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OrgPath</w:t>
            </w:r>
            <w:r>
              <w:t xml:space="preserve"> </w:t>
            </w:r>
            <w:r>
              <w:t xml:space="preserve">(+ LocPath)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AAN</w:t>
            </w:r>
            <w:r>
              <w:t xml:space="preserve"> </w:t>
            </w:r>
            <w:r>
              <w:t xml:space="preserve">(Federal App-Aware Networking)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Unified Identity-Addressing-Overlay Architecture — a governance OS / substrate</w:t>
            </w:r>
          </w:p>
        </w:tc>
        <w:tc>
          <w:tcPr/>
          <w:p>
            <w:pPr>
              <w:pStyle w:val="Compact"/>
            </w:pPr>
            <w:r>
              <w:t xml:space="preserve">A governed org-placement naming attribute derived from an HR-sourced OrgTree registry</w:t>
            </w:r>
          </w:p>
        </w:tc>
        <w:tc>
          <w:tcPr/>
          <w:p>
            <w:pPr>
              <w:pStyle w:val="Compact"/>
            </w:pPr>
            <w:r>
              <w:t xml:space="preserve">A ten-volume federal networking-modernization document series + IaC/ServiceNow kits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Altitude</w:t>
            </w:r>
          </w:p>
        </w:tc>
        <w:tc>
          <w:tcPr/>
          <w:p>
            <w:pPr>
              <w:pStyle w:val="Compact"/>
            </w:pPr>
            <w:r>
              <w:t xml:space="preserve">The engine</w:t>
            </w:r>
          </w:p>
        </w:tc>
        <w:tc>
          <w:tcPr/>
          <w:p>
            <w:pPr>
              <w:pStyle w:val="Compact"/>
            </w:pPr>
            <w:r>
              <w:t xml:space="preserve">A plane</w:t>
            </w:r>
            <w:r>
              <w:t xml:space="preserve"> </w:t>
            </w:r>
            <w:r>
              <w:rPr>
                <w:i/>
                <w:iCs/>
              </w:rPr>
              <w:t xml:space="preserve">within</w:t>
            </w:r>
            <w:r>
              <w:t xml:space="preserve"> </w:t>
            </w:r>
            <w:r>
              <w:t xml:space="preserve">the engine (the addressing plane)</w:t>
            </w:r>
          </w:p>
        </w:tc>
        <w:tc>
          <w:tcPr/>
          <w:p>
            <w:pPr>
              <w:pStyle w:val="Compact"/>
            </w:pPr>
            <w:r>
              <w:t xml:space="preserve">A domain corpus</w:t>
            </w:r>
            <w:r>
              <w:t xml:space="preserve"> </w:t>
            </w:r>
            <w:r>
              <w:rPr>
                <w:i/>
                <w:iCs/>
              </w:rPr>
              <w:t xml:space="preserve">on top of</w:t>
            </w:r>
            <w:r>
              <w:t xml:space="preserve"> </w:t>
            </w:r>
            <w:r>
              <w:t xml:space="preserve">the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Turn compliance into a deterministic pipeline: SSOT canon → drift detection → schema-enforced adapters → canon-anchored OSCAL/KSI evidence</w:t>
            </w:r>
          </w:p>
        </w:tc>
        <w:tc>
          <w:tcPr/>
          <w:p>
            <w:pPr>
              <w:pStyle w:val="Compact"/>
            </w:pPr>
            <w:r>
              <w:t xml:space="preserve">Restore the shared organizational substrate AD’s OU tree lost; be the stable key that drives ABAC / Zero-Trust targeting and survives reorgs</w:t>
            </w:r>
          </w:p>
        </w:tc>
        <w:tc>
          <w:tcPr/>
          <w:p>
            <w:pPr>
              <w:pStyle w:val="Compact"/>
            </w:pPr>
            <w:r>
              <w:t xml:space="preserve">Say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network mechanisms (IPAM/DDI, SD-WAN, TIC 3.0, 802.1X…) close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NIST controls, and produce the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Addresses…</w:t>
            </w:r>
          </w:p>
        </w:tc>
        <w:tc>
          <w:tcPr/>
          <w:p>
            <w:pPr>
              <w:pStyle w:val="Compact"/>
            </w:pPr>
            <w:r>
              <w:t xml:space="preserve">(the engine itself)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principals</w:t>
            </w:r>
            <w:r>
              <w:t xml:space="preserve"> </w:t>
            </w:r>
            <w:r>
              <w:t xml:space="preserve">— where a user/device sits in the org (</w:t>
            </w:r>
            <w:r>
              <w:rPr>
                <w:rStyle w:val="VerbatimChar"/>
              </w:rPr>
              <w:t xml:space="preserve">Region=NCR\|Department=IT\|…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hosts/traffic</w:t>
            </w:r>
            <w:r>
              <w:t xml:space="preserve"> </w:t>
            </w:r>
            <w:r>
              <w:t xml:space="preserve">— the network naming/addressing/transport plane (IP, DNS, circuits)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Vertical-agnostic core; federal is the most-mature</w:t>
            </w:r>
            <w:r>
              <w:t xml:space="preserve"> </w:t>
            </w:r>
            <w:r>
              <w:rPr>
                <w:i/>
                <w:iCs/>
              </w:rPr>
              <w:t xml:space="preserve">adapter pack</w:t>
            </w:r>
            <w:r>
              <w:t xml:space="preserve"> </w:t>
            </w:r>
            <w:r>
              <w:t xml:space="preserve">(ADR-085)</w:t>
            </w:r>
          </w:p>
        </w:tc>
        <w:tc>
          <w:tcPr/>
          <w:p>
            <w:pPr>
              <w:pStyle w:val="Compact"/>
            </w:pPr>
            <w:r>
              <w:t xml:space="preserve">UIAO canon; general-enterprise, federal (OPM HRIT) as one instantiation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  <w:r>
              <w:t xml:space="preserve"> </w:t>
            </w:r>
            <w:r>
              <w:rPr>
                <w:b/>
                <w:bCs/>
              </w:rPr>
              <w:t xml:space="preserve">companion content</w:t>
            </w:r>
            <w:r>
              <w:t xml:space="preserve"> </w:t>
            </w:r>
            <w:r>
              <w:t xml:space="preserve">for the federal vertical — explicitly</w:t>
            </w:r>
            <w:r>
              <w:t xml:space="preserve"> </w:t>
            </w:r>
            <w:r>
              <w:rPr>
                <w:i/>
                <w:iCs/>
              </w:rPr>
              <w:t xml:space="preserve">“not part of UIAO”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 in 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src/uiao/</w:t>
            </w:r>
            <w:r>
              <w:t xml:space="preserve"> </w:t>
            </w:r>
            <w:r>
              <w:t xml:space="preserve">(canon, schemas, adapters, ksi, oscal…)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src/uiao/canon/</w:t>
            </w:r>
            <w:r>
              <w:t xml:space="preserve"> </w:t>
            </w:r>
            <w:r>
              <w:t xml:space="preserve">(UIAO_007/011/013/151/193/194; ADR-035/048/088/098/102)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inbox/Application Aware Networking/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infoblox-ddi-book/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Produces</w:t>
            </w:r>
          </w:p>
        </w:tc>
        <w:tc>
          <w:tcPr/>
          <w:p>
            <w:pPr>
              <w:pStyle w:val="Compact"/>
            </w:pPr>
            <w:r>
              <w:t xml:space="preserve">OSCAL SSP/POA&amp;M, KSI signals, drift findings, evidence bundles / graph</w:t>
            </w:r>
          </w:p>
        </w:tc>
        <w:tc>
          <w:tcPr/>
          <w:p>
            <w:pPr>
              <w:pStyle w:val="Compact"/>
            </w:pPr>
            <w:r>
              <w:t xml:space="preserve">A drift-detectable attribute + dynamic groups feeding Conditional Access / SASE / Intune</w:t>
            </w:r>
          </w:p>
        </w:tc>
        <w:tc>
          <w:tcPr/>
          <w:p>
            <w:pPr>
              <w:pStyle w:val="Compact"/>
            </w:pPr>
            <w:r>
              <w:t xml:space="preserve">Books, a compliance spine, and Terraform/ServiceNow kits — evidence for UIAO’s adapter</w:t>
            </w:r>
          </w:p>
        </w:tc>
      </w:tr>
    </w:tbl>
    <w:bookmarkEnd w:id="10"/>
    <w:bookmarkStart w:id="11" w:name="where-they-overlap"/>
    <w:p>
      <w:pPr>
        <w:pStyle w:val="Heading2"/>
      </w:pPr>
      <w:r>
        <w:t xml:space="preserve">Where they overlap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Shared doctrinal spine.</w:t>
      </w:r>
      <w:r>
        <w:t xml:space="preserve"> </w:t>
      </w:r>
      <w:r>
        <w:t xml:space="preserve">All three invoke the same four ideas —</w:t>
      </w:r>
      <w:r>
        <w:t xml:space="preserve"> </w:t>
      </w:r>
      <w:r>
        <w:rPr>
          <w:b/>
          <w:bCs/>
        </w:rPr>
        <w:t xml:space="preserve">HR as the</w:t>
      </w:r>
      <w:r>
        <w:rPr>
          <w:b/>
          <w:bCs/>
        </w:rPr>
        <w:t xml:space="preserve"> </w:t>
      </w:r>
      <w:r>
        <w:rPr>
          <w:b/>
          <w:bCs/>
        </w:rPr>
        <w:t xml:space="preserve">single source of truth</w:t>
      </w:r>
      <w:r>
        <w:t xml:space="preserve">,</w:t>
      </w:r>
      <w:r>
        <w:t xml:space="preserve"> </w:t>
      </w:r>
      <w:r>
        <w:rPr>
          <w:b/>
          <w:bCs/>
        </w:rPr>
        <w:t xml:space="preserve">Zero Trust / SASE</w:t>
      </w:r>
      <w:r>
        <w:t xml:space="preserve">, an authoritative</w:t>
      </w:r>
      <w:r>
        <w:t xml:space="preserve"> </w:t>
      </w:r>
      <w:r>
        <w:rPr>
          <w:b/>
          <w:bCs/>
        </w:rPr>
        <w:t xml:space="preserve">naming/addressing plane</w:t>
      </w:r>
      <w:r>
        <w:t xml:space="preserve">, and</w:t>
      </w:r>
      <w:r>
        <w:t xml:space="preserve"> </w:t>
      </w:r>
      <w:r>
        <w:rPr>
          <w:b/>
          <w:bCs/>
        </w:rPr>
        <w:t xml:space="preserve">NIST 800-53 / CM-8 + explicit drift</w:t>
      </w:r>
      <w:r>
        <w:t xml:space="preserve">. That</w:t>
      </w:r>
      <w:r>
        <w:t xml:space="preserve"> </w:t>
      </w:r>
      <w:r>
        <w:t xml:space="preserve">shared vocabulary is why they feel like peers.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UIAO ∩ OrgPath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containment</w:t>
      </w:r>
      <w:r>
        <w:t xml:space="preserve">, not overlap: OrgPath literally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UIAO’s addressing plane. They share the canon, the drift taxonomy</w:t>
      </w:r>
      <w:r>
        <w:t xml:space="preserve"> </w:t>
      </w:r>
      <w:r>
        <w:t xml:space="preserve">(</w:t>
      </w:r>
      <w:r>
        <w:rPr>
          <w:rStyle w:val="VerbatimChar"/>
        </w:rPr>
        <w:t xml:space="preserve">DRIFT-IDENTITY</w:t>
      </w:r>
      <w:r>
        <w:t xml:space="preserve">), and the evidence pipeline.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UIAO ∩ AAN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consume-and-emit</w:t>
      </w:r>
      <w:r>
        <w:t xml:space="preserve">: a UIAO conformance adapter — the</w:t>
      </w:r>
      <w:r>
        <w:t xml:space="preserve"> </w:t>
      </w:r>
      <w:r>
        <w:rPr>
          <w:b/>
          <w:bCs/>
        </w:rPr>
        <w:t xml:space="preserve">“FedRAMP AAN Evidence Catalog”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src/uiao/canon/adapter-registry.yaml</w:t>
      </w:r>
      <w:r>
        <w:t xml:space="preserve">) —</w:t>
      </w:r>
      <w:r>
        <w:t xml:space="preserve"> </w:t>
      </w:r>
      <w:r>
        <w:t xml:space="preserve">binds AAN’s document evidence to NIST controls, and the AAN</w:t>
      </w:r>
      <w:r>
        <w:t xml:space="preserve"> </w:t>
      </w:r>
      <w:r>
        <w:rPr>
          <w:i/>
          <w:iCs/>
        </w:rPr>
        <w:t xml:space="preserve">concept</w:t>
      </w:r>
      <w:r>
        <w:t xml:space="preserve"> </w:t>
      </w:r>
      <w:r>
        <w:t xml:space="preserve">has a</w:t>
      </w:r>
      <w:r>
        <w:t xml:space="preserve"> </w:t>
      </w:r>
      <w:r>
        <w:t xml:space="preserve">canonical home in</w:t>
      </w:r>
      <w:r>
        <w:t xml:space="preserve"> </w:t>
      </w:r>
      <w:r>
        <w:rPr>
          <w:b/>
          <w:bCs/>
        </w:rPr>
        <w:t xml:space="preserve">ADR-066</w:t>
      </w:r>
      <w:r>
        <w:t xml:space="preserve"> </w:t>
      </w:r>
      <w:r>
        <w:t xml:space="preserve">(</w:t>
      </w:r>
      <w:r>
        <w:t xml:space="preserve">“Application-Aware Networking &amp; Token-Bound</w:t>
      </w:r>
      <w:r>
        <w:t xml:space="preserve"> </w:t>
      </w:r>
      <w:r>
        <w:t xml:space="preserve">Transport”</w:t>
      </w:r>
      <w:r>
        <w:t xml:space="preserve">). The AAN</w:t>
      </w:r>
      <w:r>
        <w:t xml:space="preserve"> </w:t>
      </w:r>
      <w:r>
        <w:rPr>
          <w:i/>
          <w:iCs/>
        </w:rPr>
        <w:t xml:space="preserve">corpus itself</w:t>
      </w:r>
      <w:r>
        <w:t xml:space="preserve"> </w:t>
      </w:r>
      <w:r>
        <w:t xml:space="preserve">is external.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OrgPath ∩ AAN</w:t>
      </w:r>
      <w:r>
        <w:t xml:space="preserve"> </w:t>
      </w:r>
      <w:r>
        <w:t xml:space="preserve">is the subtle one: they are</w:t>
      </w:r>
      <w:r>
        <w:t xml:space="preserve"> </w:t>
      </w:r>
      <w:r>
        <w:rPr>
          <w:b/>
          <w:bCs/>
        </w:rPr>
        <w:t xml:space="preserve">architecturally parallel</w:t>
      </w:r>
      <w:r>
        <w:t xml:space="preserve"> </w:t>
      </w:r>
      <w:r>
        <w:t xml:space="preserve">(a</w:t>
      </w:r>
      <w:r>
        <w:t xml:space="preserve"> </w:t>
      </w:r>
      <w:r>
        <w:t xml:space="preserve">grep for</w:t>
      </w:r>
      <w:r>
        <w:t xml:space="preserve"> </w:t>
      </w:r>
      <w:r>
        <w:rPr>
          <w:rStyle w:val="VerbatimChar"/>
        </w:rPr>
        <w:t xml:space="preserve">OrgPath</w:t>
      </w:r>
      <w:r>
        <w:t xml:space="preserve"> </w:t>
      </w:r>
      <w:r>
        <w:t xml:space="preserve">inside the AAN files returns nothing). They connect only</w:t>
      </w:r>
      <w:r>
        <w:t xml:space="preserve"> </w:t>
      </w:r>
      <w:r>
        <w:t xml:space="preserve">through shared doctrine (HR-SSOT, ADR-066’s SASE/ZTNA fabric) — not direct</w:t>
      </w:r>
      <w:r>
        <w:t xml:space="preserve"> </w:t>
      </w:r>
      <w:r>
        <w:t xml:space="preserve">cross-references.</w:t>
      </w:r>
    </w:p>
    <w:bookmarkEnd w:id="11"/>
    <w:bookmarkStart w:id="12" w:name="X0a3652afffce491de57e01788f695a59737406d"/>
    <w:p>
      <w:pPr>
        <w:pStyle w:val="Heading2"/>
      </w:pPr>
      <w:r>
        <w:t xml:space="preserve">Where they’re complementary (the real value)</w:t>
      </w:r>
    </w:p>
    <w:p>
      <w:pPr>
        <w:pStyle w:val="FirstParagraph"/>
      </w:pPr>
      <w:r>
        <w:t xml:space="preserve">They are the</w:t>
      </w:r>
      <w:r>
        <w:t xml:space="preserve"> </w:t>
      </w:r>
      <w:r>
        <w:rPr>
          <w:b/>
          <w:bCs/>
        </w:rPr>
        <w:t xml:space="preserve">two halves of the CM-8 join</w:t>
      </w:r>
      <w:r>
        <w:t xml:space="preserve">, plus the engine that proves it: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OrgPath = identity addressing</w:t>
      </w:r>
      <w:r>
        <w:t xml:space="preserve"> </w:t>
      </w:r>
      <w:r>
        <w:t xml:space="preserve">—</w:t>
      </w:r>
      <w:r>
        <w:t xml:space="preserve"> </w:t>
      </w:r>
      <w:r>
        <w:t xml:space="preserve">“who is this principal, and where do they</w:t>
      </w:r>
      <w:r>
        <w:t xml:space="preserve"> </w:t>
      </w:r>
      <w:r>
        <w:t xml:space="preserve">sit in the org?”</w:t>
      </w:r>
      <w:r>
        <w:t xml:space="preserve"> </w:t>
      </w:r>
      <w:r>
        <w:t xml:space="preserve">→ drives</w:t>
      </w:r>
      <w:r>
        <w:t xml:space="preserve"> </w:t>
      </w:r>
      <w:r>
        <w:rPr>
          <w:i/>
          <w:iCs/>
        </w:rPr>
        <w:t xml:space="preserve">policy targeting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AAN’s IPAM/DDI = network addressing</w:t>
      </w:r>
      <w:r>
        <w:t xml:space="preserve"> </w:t>
      </w:r>
      <w:r>
        <w:t xml:space="preserve">—</w:t>
      </w:r>
      <w:r>
        <w:t xml:space="preserve"> </w:t>
      </w:r>
      <w:r>
        <w:t xml:space="preserve">“what/where is this host on the</w:t>
      </w:r>
      <w:r>
        <w:t xml:space="preserve"> </w:t>
      </w:r>
      <w:r>
        <w:t xml:space="preserve">wire?”</w:t>
      </w:r>
      <w:r>
        <w:t xml:space="preserve"> </w:t>
      </w:r>
      <w:r>
        <w:t xml:space="preserve">→ the</w:t>
      </w:r>
      <w:r>
        <w:t xml:space="preserve"> </w:t>
      </w:r>
      <w:r>
        <w:rPr>
          <w:i/>
          <w:iCs/>
        </w:rPr>
        <w:t xml:space="preserve">network naming/transport</w:t>
      </w:r>
      <w:r>
        <w:t xml:space="preserve"> </w:t>
      </w:r>
      <w:r>
        <w:t xml:space="preserve">plane.</w:t>
      </w:r>
    </w:p>
    <w:p>
      <w:pPr>
        <w:pStyle w:val="Compact"/>
        <w:numPr>
          <w:ilvl w:val="0"/>
          <w:numId w:val="1003"/>
        </w:numPr>
      </w:pPr>
      <w:r>
        <w:t xml:space="preserve">Both reconcile to the</w:t>
      </w:r>
      <w:r>
        <w:t xml:space="preserve"> </w:t>
      </w:r>
      <w:r>
        <w:rPr>
          <w:b/>
          <w:bCs/>
        </w:rPr>
        <w:t xml:space="preserve">same CM-8 asset-identity join key</w:t>
      </w:r>
      <w:r>
        <w:t xml:space="preserve">; neither is the</w:t>
      </w:r>
      <w:r>
        <w:t xml:space="preserve"> </w:t>
      </w:r>
      <w:r>
        <w:t xml:space="preserve">other. OrgPath keys</w:t>
      </w:r>
      <w:r>
        <w:t xml:space="preserve"> </w:t>
      </w:r>
      <w:r>
        <w:rPr>
          <w:i/>
          <w:iCs/>
        </w:rPr>
        <w:t xml:space="preserve">people/devices</w:t>
      </w:r>
      <w:r>
        <w:t xml:space="preserve">; IPAM/DDI keys</w:t>
      </w:r>
      <w:r>
        <w:t xml:space="preserve"> </w:t>
      </w:r>
      <w:r>
        <w:rPr>
          <w:i/>
          <w:iCs/>
        </w:rPr>
        <w:t xml:space="preserve">hosts/subnets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UIAO</w:t>
      </w:r>
      <w:r>
        <w:t xml:space="preserve"> </w:t>
      </w:r>
      <w:r>
        <w:t xml:space="preserve">is the layer that ingests both as canon-anchored evidence and emits</w:t>
      </w:r>
      <w:r>
        <w:t xml:space="preserve"> </w:t>
      </w:r>
      <w:r>
        <w:t xml:space="preserve">the continuous, drift-checked OSCAL/KSI authorization package.</w:t>
      </w:r>
    </w:p>
    <w:p>
      <w:pPr>
        <w:pStyle w:val="FirstParagraph"/>
      </w:pPr>
      <w:r>
        <w:rPr>
          <w:b/>
          <w:bCs/>
        </w:rPr>
        <w:t xml:space="preserve">Mental model:</w:t>
      </w:r>
      <w:r>
        <w:t xml:space="preserve"> </w:t>
      </w:r>
      <w:r>
        <w:rPr>
          <w:i/>
          <w:iCs/>
        </w:rPr>
        <w:t xml:space="preserve">AAN builds the network substrate, OrgPath builds the identity</w:t>
      </w:r>
      <w:r>
        <w:rPr>
          <w:i/>
          <w:iCs/>
        </w:rPr>
        <w:t xml:space="preserve"> </w:t>
      </w:r>
      <w:r>
        <w:rPr>
          <w:i/>
          <w:iCs/>
        </w:rPr>
        <w:t xml:space="preserve">substrate, and UIAO governs and proves both.</w:t>
      </w:r>
    </w:p>
    <w:bookmarkEnd w:id="12"/>
    <w:bookmarkStart w:id="13" w:name="value-of-each-standalone"/>
    <w:p>
      <w:pPr>
        <w:pStyle w:val="Heading2"/>
      </w:pPr>
      <w:r>
        <w:t xml:space="preserve">Value of each, standalone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UIAO</w:t>
      </w:r>
      <w:r>
        <w:t xml:space="preserve"> </w:t>
      </w:r>
      <w:r>
        <w:t xml:space="preserve">— converts authorization/compliance from a perpetual document project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deterministic pipeline output</w:t>
      </w:r>
      <w:r>
        <w:t xml:space="preserve"> </w:t>
      </w:r>
      <w:r>
        <w:t xml:space="preserve">with cryptographic provenance and</w:t>
      </w:r>
      <w:r>
        <w:t xml:space="preserve"> </w:t>
      </w:r>
      <w:r>
        <w:t xml:space="preserve">drift containment. Value:</w:t>
      </w:r>
      <w:r>
        <w:t xml:space="preserve"> </w:t>
      </w:r>
      <w:r>
        <w:rPr>
          <w:i/>
          <w:iCs/>
        </w:rPr>
        <w:t xml:space="preserve">reuse and rigor</w:t>
      </w:r>
      <w:r>
        <w:t xml:space="preserve"> </w:t>
      </w:r>
      <w:r>
        <w:t xml:space="preserve">— the same engine serves any</w:t>
      </w:r>
      <w:r>
        <w:t xml:space="preserve"> </w:t>
      </w:r>
      <w:r>
        <w:t xml:space="preserve">vertical, and drift is never silently tolerated.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OrgPath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one attribute that survives reorgs, transfers, and rejoins</w:t>
      </w:r>
      <w:r>
        <w:t xml:space="preserve"> </w:t>
      </w:r>
      <w:r>
        <w:t xml:space="preserve">without manual remediation, making Zero-Trust / ABAC targeting deterministic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drift-detectable</w:t>
      </w:r>
      <w:r>
        <w:t xml:space="preserve"> </w:t>
      </w:r>
      <w:r>
        <w:t xml:space="preserve">instead of a spreadsheet of static group memberships.</w:t>
      </w:r>
      <w:r>
        <w:t xml:space="preserve"> </w:t>
      </w:r>
      <w:r>
        <w:t xml:space="preserve">Value: a</w:t>
      </w:r>
      <w:r>
        <w:t xml:space="preserve"> </w:t>
      </w:r>
      <w:r>
        <w:rPr>
          <w:i/>
          <w:iCs/>
        </w:rPr>
        <w:t xml:space="preserve">stable, governed identity primitive</w:t>
      </w:r>
      <w:r>
        <w:t xml:space="preserve">, now vendor-neutral across</w:t>
      </w:r>
      <w:r>
        <w:t xml:space="preserve"> </w:t>
      </w:r>
      <w:r>
        <w:t xml:space="preserve">clouds (ADR-098).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AAN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federal networking-modernization playbook</w:t>
      </w:r>
      <w:r>
        <w:t xml:space="preserve">: the domain</w:t>
      </w:r>
      <w:r>
        <w:t xml:space="preserve"> </w:t>
      </w:r>
      <w:r>
        <w:t xml:space="preserve">expertise mapping specific mechanisms to specific control closures (with the</w:t>
      </w:r>
      <w:r>
        <w:t xml:space="preserve"> </w:t>
      </w:r>
      <w:r>
        <w:t xml:space="preserve">“no alternate closure path”</w:t>
      </w:r>
      <w:r>
        <w:t xml:space="preserve"> </w:t>
      </w:r>
      <w:r>
        <w:t xml:space="preserve">necessity arguments), plus deployable IaC /</w:t>
      </w:r>
      <w:r>
        <w:t xml:space="preserve"> </w:t>
      </w:r>
      <w:r>
        <w:t xml:space="preserve">ServiceNow kits and a machine-checked compliance spine. Value: *domain content</w:t>
      </w:r>
    </w:p>
    <w:p>
      <w:pPr>
        <w:pStyle w:val="Compact"/>
        <w:numPr>
          <w:ilvl w:val="1"/>
          <w:numId w:val="1005"/>
        </w:numPr>
      </w:pPr>
      <w:r>
        <w:t xml:space="preserve">an evidence source* — the thing that gives UIAO’s federal adapter pack</w:t>
      </w:r>
      <w:r>
        <w:t xml:space="preserve"> </w:t>
      </w:r>
      <w:r>
        <w:t xml:space="preserve">something concrete to attest.</w:t>
      </w:r>
    </w:p>
    <w:bookmarkEnd w:id="13"/>
    <w:bookmarkStart w:id="14" w:name="caveat-opportunity"/>
    <w:p>
      <w:pPr>
        <w:pStyle w:val="Heading2"/>
      </w:pPr>
      <w:r>
        <w:t xml:space="preserve">Caveat / opportunity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OrgPath ↔ AAN</w:t>
      </w:r>
      <w:r>
        <w:t xml:space="preserve"> </w:t>
      </w:r>
      <w:r>
        <w:t xml:space="preserve">link is doctrinal, not yet wired at the document level. The</w:t>
      </w:r>
      <w:r>
        <w:t xml:space="preserve"> </w:t>
      </w:r>
      <w:r>
        <w:t xml:space="preserve">most natural place to tighten the story is to explicitly reconcile</w:t>
      </w:r>
      <w:r>
        <w:t xml:space="preserve"> </w:t>
      </w:r>
      <w:r>
        <w:rPr>
          <w:b/>
          <w:bCs/>
        </w:rPr>
        <w:t xml:space="preserve">OrgPath</w:t>
      </w:r>
      <w:r>
        <w:rPr>
          <w:b/>
          <w:bCs/>
        </w:rPr>
        <w:t xml:space="preserve"> </w:t>
      </w:r>
      <w:r>
        <w:rPr>
          <w:b/>
          <w:bCs/>
        </w:rPr>
        <w:t xml:space="preserve">(organizational addressing)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IPAM/DDI (network addressing)</w:t>
      </w:r>
      <w:r>
        <w:t xml:space="preserve"> </w:t>
      </w:r>
      <w:r>
        <w:t xml:space="preserve">as the two</w:t>
      </w:r>
      <w:r>
        <w:t xml:space="preserve"> </w:t>
      </w:r>
      <w:r>
        <w:t xml:space="preserve">CM-8 addressing planes — one keying principals, one keying hosts, both feeding</w:t>
      </w:r>
      <w:r>
        <w:t xml:space="preserve"> </w:t>
      </w:r>
      <w:r>
        <w:t xml:space="preserve">the same join key that UIAO attests.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2026-07-13T03:56:43Z</dcterms:created>
  <dcterms:modified xsi:type="dcterms:W3CDTF">2026-07-13T03:56:43Z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