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280A6" w14:textId="77777777" w:rsidR="005574F2" w:rsidRDefault="00000000">
      <w:pPr>
        <w:spacing w:after="120"/>
      </w:pPr>
      <w:r>
        <w:rPr>
          <w:b/>
          <w:bCs/>
          <w:color w:val="1F3864"/>
          <w:sz w:val="40"/>
          <w:szCs w:val="40"/>
        </w:rPr>
        <w:t>FedRAMP 20x — Assessment &amp; Implications for the GCC-Moderate Memo Series</w:t>
      </w:r>
    </w:p>
    <w:p w14:paraId="7B2280A7" w14:textId="77777777" w:rsidR="005574F2" w:rsidRDefault="00000000">
      <w:pPr>
        <w:pBdr>
          <w:bottom w:val="single" w:sz="8" w:space="4" w:color="1F3864"/>
        </w:pBdr>
        <w:spacing w:after="240"/>
      </w:pPr>
      <w:r>
        <w:rPr>
          <w:i/>
          <w:iCs/>
          <w:color w:val="595959"/>
        </w:rPr>
        <w:t>Forward-looking note — companion to the GCC-Moderate Telemetry &amp; Boundary Assessment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6460"/>
      </w:tblGrid>
      <w:tr w:rsidR="005574F2" w14:paraId="7B2280AA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2280A8" w14:textId="77777777" w:rsidR="005574F2" w:rsidRDefault="00000000">
            <w:r>
              <w:rPr>
                <w:b/>
                <w:bCs/>
                <w:sz w:val="18"/>
                <w:szCs w:val="18"/>
              </w:rPr>
              <w:t>Document type</w:t>
            </w:r>
          </w:p>
        </w:tc>
        <w:tc>
          <w:tcPr>
            <w:tcW w:w="6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2280A9" w14:textId="77777777" w:rsidR="005574F2" w:rsidRDefault="00000000">
            <w:r>
              <w:rPr>
                <w:sz w:val="18"/>
                <w:szCs w:val="18"/>
              </w:rPr>
              <w:t>Assessment &amp; forward-looking note</w:t>
            </w:r>
          </w:p>
        </w:tc>
      </w:tr>
      <w:tr w:rsidR="005574F2" w14:paraId="7B2280AD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2280AB" w14:textId="77777777" w:rsidR="005574F2" w:rsidRDefault="00000000">
            <w:r>
              <w:rPr>
                <w:b/>
                <w:bCs/>
                <w:sz w:val="18"/>
                <w:szCs w:val="18"/>
              </w:rPr>
              <w:t>Scope</w:t>
            </w:r>
          </w:p>
        </w:tc>
        <w:tc>
          <w:tcPr>
            <w:tcW w:w="6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2280AC" w14:textId="77777777" w:rsidR="005574F2" w:rsidRDefault="00000000">
            <w:r>
              <w:rPr>
                <w:sz w:val="18"/>
                <w:szCs w:val="18"/>
              </w:rPr>
              <w:t>FedRAMP 20x Phase 2 Pilot — current as of FedRAMP docs</w:t>
            </w:r>
          </w:p>
        </w:tc>
      </w:tr>
      <w:tr w:rsidR="005574F2" w14:paraId="7B2280B0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2280AE" w14:textId="77777777" w:rsidR="005574F2" w:rsidRDefault="00000000">
            <w:r>
              <w:rPr>
                <w:b/>
                <w:bCs/>
                <w:sz w:val="18"/>
                <w:szCs w:val="18"/>
              </w:rPr>
              <w:t xml:space="preserve">Relationship </w:t>
            </w:r>
            <w:proofErr w:type="gramStart"/>
            <w:r>
              <w:rPr>
                <w:b/>
                <w:bCs/>
                <w:sz w:val="18"/>
                <w:szCs w:val="18"/>
              </w:rPr>
              <w:t>to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prior memos</w:t>
            </w:r>
          </w:p>
        </w:tc>
        <w:tc>
          <w:tcPr>
            <w:tcW w:w="6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2280AF" w14:textId="77777777" w:rsidR="005574F2" w:rsidRDefault="00000000">
            <w:r>
              <w:rPr>
                <w:sz w:val="18"/>
                <w:szCs w:val="18"/>
              </w:rPr>
              <w:t>Companion update; prior findings remain valid</w:t>
            </w:r>
          </w:p>
        </w:tc>
      </w:tr>
      <w:tr w:rsidR="005574F2" w14:paraId="7B2280B3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2280B1" w14:textId="77777777" w:rsidR="005574F2" w:rsidRDefault="00000000">
            <w:r>
              <w:rPr>
                <w:b/>
                <w:bCs/>
                <w:sz w:val="18"/>
                <w:szCs w:val="18"/>
              </w:rPr>
              <w:t>Authoritative source</w:t>
            </w:r>
          </w:p>
        </w:tc>
        <w:tc>
          <w:tcPr>
            <w:tcW w:w="6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2280B2" w14:textId="77777777" w:rsidR="005574F2" w:rsidRDefault="00000000">
            <w:r>
              <w:rPr>
                <w:sz w:val="18"/>
                <w:szCs w:val="18"/>
              </w:rPr>
              <w:t>https://www.fedramp.gov/docs/20x/</w:t>
            </w:r>
          </w:p>
        </w:tc>
      </w:tr>
    </w:tbl>
    <w:p w14:paraId="7B2280B4" w14:textId="77777777" w:rsidR="005574F2" w:rsidRDefault="005574F2">
      <w:pPr>
        <w:spacing w:before="240"/>
      </w:pPr>
    </w:p>
    <w:p w14:paraId="7B2280B5" w14:textId="77777777" w:rsidR="005574F2" w:rsidRDefault="00000000">
      <w:pPr>
        <w:spacing w:before="60" w:after="120" w:line="300" w:lineRule="auto"/>
      </w:pPr>
      <w:r>
        <w:rPr>
          <w:b/>
          <w:bCs/>
        </w:rPr>
        <w:t xml:space="preserve">Headline. </w:t>
      </w:r>
      <w:r>
        <w:t xml:space="preserve">FedRAMP 20x is the modernization track that </w:t>
      </w:r>
      <w:r>
        <w:rPr>
          <w:i/>
          <w:iCs/>
        </w:rPr>
        <w:t>replaces the assessment method, not the assessment scope</w:t>
      </w:r>
      <w:r>
        <w:t xml:space="preserve">. Phase 2 Pilot is </w:t>
      </w:r>
      <w:r>
        <w:rPr>
          <w:b/>
          <w:bCs/>
        </w:rPr>
        <w:t>active</w:t>
      </w:r>
      <w:r>
        <w:t xml:space="preserve"> — the requirements published at fedramp.gov/docs/20x/ are authoritative and labeled "Required (Phase 2 Pilot)." 20x does not by itself close the GCC-Moderate telemetry gaps documented in the prior memos — those remain Microsoft engineering decisions about commercial-cloud features — but it materially changes the federal framing in which agencies and CSPs operate, and gives the deterministic-telemetry subset of the gap matrix a cleaner home as machine-readable evidence.</w:t>
      </w:r>
    </w:p>
    <w:p w14:paraId="7B2280B6" w14:textId="77777777" w:rsidR="005574F2" w:rsidRDefault="00000000">
      <w:pPr>
        <w:pStyle w:val="Heading1"/>
      </w:pPr>
      <w:r>
        <w:t>1. What 20x is, in two pieces</w:t>
      </w:r>
    </w:p>
    <w:p w14:paraId="7B2280B7" w14:textId="77777777" w:rsidR="005574F2" w:rsidRDefault="00000000">
      <w:pPr>
        <w:pStyle w:val="Heading2"/>
      </w:pPr>
      <w:r>
        <w:t>1.1 Minimum Assessment Scope (the “what's in” rule)</w:t>
      </w:r>
    </w:p>
    <w:p w14:paraId="7B2280B8" w14:textId="77777777" w:rsidR="005574F2" w:rsidRDefault="00000000">
      <w:pPr>
        <w:spacing w:before="60" w:after="120" w:line="300" w:lineRule="auto"/>
      </w:pPr>
      <w:r>
        <w:t xml:space="preserve">Replaces the prior FedRAMP authorization-boundary construct with a two-pronged inclusion test. From the live documentation: providers must identify information resources that are </w:t>
      </w:r>
      <w:r>
        <w:rPr>
          <w:i/>
          <w:iCs/>
        </w:rPr>
        <w:t xml:space="preserve">“likely to handle federal customer data or likely to impact the confidentiality, integrity, or availability of federal customer data” </w:t>
      </w:r>
      <w:r>
        <w:t>(MAS-CSO-IIR). Resources that fail both prongs are out of scope. Metadata follows the same rule (MAS-CSO-MDI): metadata is in scope only when the underlying resource is in scope.</w:t>
      </w:r>
    </w:p>
    <w:p w14:paraId="7B2280B9" w14:textId="77777777" w:rsidR="005574F2" w:rsidRDefault="00000000">
      <w:pPr>
        <w:spacing w:before="60" w:after="120" w:line="300" w:lineRule="auto"/>
      </w:pPr>
      <w:r>
        <w:rPr>
          <w:b/>
          <w:bCs/>
        </w:rPr>
        <w:t xml:space="preserve">Why this matters for GCC-Moderate. </w:t>
      </w:r>
      <w:r>
        <w:t xml:space="preserve">Telemetry that is measurement-only and does </w:t>
      </w:r>
      <w:proofErr w:type="gramStart"/>
      <w:r>
        <w:t>not itself</w:t>
      </w:r>
      <w:proofErr w:type="gramEnd"/>
      <w:r>
        <w:t xml:space="preserve"> handle federal customer data — synthetic network path metrics, anonymized endpoint performance counters, fleet-wide patch posture rollups — has a credible path to descoping under MAS-CSO-MDI. Telemetry that handles federal customer data routinely (sign-in events, mailbox-access events, sensitivity-label content) does not.</w:t>
      </w:r>
    </w:p>
    <w:p w14:paraId="7B2280BA" w14:textId="77777777" w:rsidR="005574F2" w:rsidRDefault="00000000">
      <w:pPr>
        <w:pStyle w:val="Heading2"/>
      </w:pPr>
      <w:r>
        <w:t>1.2 Key Security Indicators (the “how it's measured” rule)</w:t>
      </w:r>
    </w:p>
    <w:p w14:paraId="7B2280BB" w14:textId="77777777" w:rsidR="005574F2" w:rsidRDefault="00000000">
      <w:pPr>
        <w:spacing w:before="60" w:after="120" w:line="300" w:lineRule="auto"/>
      </w:pPr>
      <w:r>
        <w:t>Eleven KSI families published at fedramp.gov/docs/20x/key-security-indicators/, each mapping to a control domain:</w:t>
      </w:r>
    </w:p>
    <w:p w14:paraId="7B2280BC" w14:textId="77777777" w:rsidR="005574F2" w:rsidRDefault="00000000">
      <w:pPr>
        <w:pStyle w:val="ListParagraph"/>
        <w:numPr>
          <w:ilvl w:val="0"/>
          <w:numId w:val="2"/>
        </w:numPr>
        <w:spacing w:before="40" w:after="80" w:line="280" w:lineRule="auto"/>
      </w:pPr>
      <w:r>
        <w:lastRenderedPageBreak/>
        <w:t>Authorization by FedRAMP, Change Management, Cloud-Native Architecture, Cybersecurity Education, Identity and Access Management, Incident Response, Monitoring/Logging/Auditing, Policy and Inventory, Recovery Planning, Service Configuration, Supply Chain Risk.</w:t>
      </w:r>
    </w:p>
    <w:p w14:paraId="7B2280BD" w14:textId="77777777" w:rsidR="005574F2" w:rsidRDefault="00000000">
      <w:pPr>
        <w:spacing w:before="60" w:after="120" w:line="300" w:lineRule="auto"/>
      </w:pPr>
      <w:r>
        <w:t xml:space="preserve">KSIs sit </w:t>
      </w:r>
      <w:r>
        <w:rPr>
          <w:i/>
          <w:iCs/>
        </w:rPr>
        <w:t xml:space="preserve">above </w:t>
      </w:r>
      <w:r>
        <w:t>NIST 800-53 — they map to control families, but the artifact a CSP produces is a machine-readable, continuously-validated evidence payload rather than an SSP narrative. Compliance shifts from periodic-document-attesting toward continuous-evidence-emitting.</w:t>
      </w:r>
    </w:p>
    <w:p w14:paraId="7B2280BE" w14:textId="77777777" w:rsidR="005574F2" w:rsidRDefault="00000000">
      <w:pPr>
        <w:pStyle w:val="Heading2"/>
      </w:pPr>
      <w:r>
        <w:t>1.3 Where 20x lives today</w:t>
      </w:r>
    </w:p>
    <w:p w14:paraId="7B2280BF" w14:textId="77777777" w:rsidR="005574F2" w:rsidRDefault="00000000">
      <w:pPr>
        <w:spacing w:before="60" w:after="120" w:line="300" w:lineRule="auto"/>
      </w:pPr>
      <w:r>
        <w:t>Three deployment surfaces relevant to the GCC-Moderate conversation:</w:t>
      </w:r>
    </w:p>
    <w:p w14:paraId="7B2280C0" w14:textId="77777777" w:rsidR="005574F2" w:rsidRDefault="00000000">
      <w:pPr>
        <w:pStyle w:val="ListParagraph"/>
        <w:numPr>
          <w:ilvl w:val="0"/>
          <w:numId w:val="2"/>
        </w:numPr>
        <w:spacing w:before="40" w:after="80" w:line="280" w:lineRule="auto"/>
      </w:pPr>
      <w:r>
        <w:rPr>
          <w:b/>
          <w:bCs/>
        </w:rPr>
        <w:t xml:space="preserve">Phase 2 Pilot — Required. </w:t>
      </w:r>
      <w:r>
        <w:t>Authoritative requirements at fedramp.gov/docs/20x/ for participants in the Moderate pilot.</w:t>
      </w:r>
    </w:p>
    <w:p w14:paraId="7B2280C1" w14:textId="77777777" w:rsidR="005574F2" w:rsidRDefault="00000000">
      <w:pPr>
        <w:pStyle w:val="ListParagraph"/>
        <w:numPr>
          <w:ilvl w:val="0"/>
          <w:numId w:val="2"/>
        </w:numPr>
        <w:spacing w:before="40" w:after="80" w:line="280" w:lineRule="auto"/>
      </w:pPr>
      <w:r>
        <w:rPr>
          <w:b/>
          <w:bCs/>
        </w:rPr>
        <w:t xml:space="preserve">Rev5 Balance Improvement Releases — Optional. </w:t>
      </w:r>
      <w:r>
        <w:t xml:space="preserve">Minimum Assessment Scope, Significant Change Notifications, Authorization Data Sharing, Vulnerability Detection and Response, and Collaborative Continuous Monitoring are all available as opt-in updates to existing Rev5-authorized packages without going through full 20x. This is the most likely near-term path for </w:t>
      </w:r>
      <w:proofErr w:type="gramStart"/>
      <w:r>
        <w:t>currently-authorized</w:t>
      </w:r>
      <w:proofErr w:type="gramEnd"/>
      <w:r>
        <w:t xml:space="preserve"> CSPs to adopt the new scope rule.</w:t>
      </w:r>
    </w:p>
    <w:p w14:paraId="7B2280C2" w14:textId="77777777" w:rsidR="005574F2" w:rsidRDefault="00000000">
      <w:pPr>
        <w:pStyle w:val="ListParagraph"/>
        <w:numPr>
          <w:ilvl w:val="0"/>
          <w:numId w:val="2"/>
        </w:numPr>
        <w:spacing w:before="40" w:after="80" w:line="280" w:lineRule="auto"/>
      </w:pPr>
      <w:r>
        <w:rPr>
          <w:b/>
          <w:bCs/>
        </w:rPr>
        <w:t xml:space="preserve">Phase 1 Pilot — archived. </w:t>
      </w:r>
      <w:r>
        <w:t>Documents under fedramp.gov/docs/20x/phase1/ are reference-only. Note that Phase 1's “Minimum Assessment Standard” is the predecessor to the current “Minimum Assessment Scope” — same two-prong concept, different name and refined language.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574F2" w14:paraId="7B2280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6" w:color="1F3864"/>
              <w:left w:val="single" w:sz="6" w:space="6" w:color="1F3864"/>
              <w:bottom w:val="single" w:sz="6" w:space="6" w:color="1F3864"/>
              <w:right w:val="single" w:sz="6" w:space="6" w:color="1F3864"/>
            </w:tcBorders>
            <w:shd w:val="clear" w:color="auto" w:fill="EAF1FB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4FB5F8FC" w14:textId="77777777" w:rsidR="00407BD3" w:rsidRDefault="00407BD3">
            <w:pPr>
              <w:spacing w:after="80"/>
              <w:jc w:val="center"/>
              <w:rPr>
                <w:b/>
                <w:bCs/>
                <w:color w:val="1F3864"/>
                <w:sz w:val="20"/>
                <w:szCs w:val="20"/>
              </w:rPr>
            </w:pPr>
            <w:r>
              <w:rPr>
                <w:b/>
                <w:bCs/>
                <w:noProof/>
                <w:color w:val="1F3864"/>
                <w:sz w:val="20"/>
                <w:szCs w:val="20"/>
              </w:rPr>
              <w:drawing>
                <wp:inline distT="0" distB="0" distL="0" distR="0" wp14:anchorId="1CF85081" wp14:editId="54CFBAB0">
                  <wp:extent cx="4291965" cy="2342515"/>
                  <wp:effectExtent l="0" t="0" r="0" b="635"/>
                  <wp:docPr id="8125633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91965" cy="2342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2280C3" w14:textId="222DBCF0" w:rsidR="005574F2" w:rsidRDefault="00000000">
            <w:pPr>
              <w:spacing w:after="80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Figure 1</w:t>
            </w:r>
          </w:p>
          <w:p w14:paraId="7B2280C5" w14:textId="518CD0A9" w:rsidR="005574F2" w:rsidRDefault="005574F2">
            <w:pPr>
              <w:jc w:val="center"/>
            </w:pPr>
          </w:p>
        </w:tc>
      </w:tr>
    </w:tbl>
    <w:p w14:paraId="7B2280C7" w14:textId="77777777" w:rsidR="005574F2" w:rsidRDefault="005574F2">
      <w:pPr>
        <w:spacing w:before="80" w:after="80"/>
      </w:pPr>
    </w:p>
    <w:p w14:paraId="7B2280C8" w14:textId="77777777" w:rsidR="005574F2" w:rsidRDefault="00000000">
      <w:pPr>
        <w:pStyle w:val="Heading1"/>
      </w:pPr>
      <w:r>
        <w:lastRenderedPageBreak/>
        <w:t>2. Effect on the GCC-Moderate telemetry gap inventory</w:t>
      </w:r>
    </w:p>
    <w:p w14:paraId="7B2280C9" w14:textId="77777777" w:rsidR="005574F2" w:rsidRDefault="00000000">
      <w:pPr>
        <w:spacing w:before="60" w:after="120" w:line="300" w:lineRule="auto"/>
      </w:pPr>
      <w:r>
        <w:t>Mapping the live Minimum Assessment Scope rule against the documented gap matrix, by signal class: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200"/>
        <w:gridCol w:w="5760"/>
      </w:tblGrid>
      <w:tr w:rsidR="005574F2" w14:paraId="7B2280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2280CA" w14:textId="77777777" w:rsidR="005574F2" w:rsidRDefault="00000000">
            <w:r>
              <w:rPr>
                <w:b/>
                <w:bCs/>
                <w:color w:val="FFFFFF"/>
                <w:sz w:val="20"/>
                <w:szCs w:val="20"/>
              </w:rPr>
              <w:t>Signal class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2280CB" w14:textId="77777777" w:rsidR="005574F2" w:rsidRDefault="00000000">
            <w:r>
              <w:rPr>
                <w:b/>
                <w:bCs/>
                <w:color w:val="FFFFFF"/>
                <w:sz w:val="20"/>
                <w:szCs w:val="20"/>
              </w:rPr>
              <w:t>Net effect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2280CC" w14:textId="77777777" w:rsidR="005574F2" w:rsidRDefault="00000000">
            <w:r>
              <w:rPr>
                <w:b/>
                <w:bCs/>
                <w:color w:val="FFFFFF"/>
                <w:sz w:val="20"/>
                <w:szCs w:val="20"/>
              </w:rPr>
              <w:t>Reasoning</w:t>
            </w:r>
          </w:p>
        </w:tc>
      </w:tr>
      <w:tr w:rsidR="005574F2" w14:paraId="7B2280D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2280CE" w14:textId="77777777" w:rsidR="005574F2" w:rsidRDefault="00000000">
            <w:r>
              <w:rPr>
                <w:b/>
                <w:bCs/>
                <w:sz w:val="18"/>
                <w:szCs w:val="18"/>
              </w:rPr>
              <w:t>Network path metrics (latency / jitter / packet-loss; INR-style)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2280CF" w14:textId="77777777" w:rsidR="005574F2" w:rsidRDefault="00000000">
            <w:r>
              <w:rPr>
                <w:sz w:val="18"/>
                <w:szCs w:val="18"/>
              </w:rPr>
              <w:t>Favorable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2280D0" w14:textId="77777777" w:rsidR="005574F2" w:rsidRDefault="00000000">
            <w:r>
              <w:rPr>
                <w:sz w:val="18"/>
                <w:szCs w:val="18"/>
              </w:rPr>
              <w:t>Measurement-only, machine-generated, no federal customer data. Strong case as descoped metadata under MAS-CSO-MDI.</w:t>
            </w:r>
          </w:p>
        </w:tc>
      </w:tr>
      <w:tr w:rsidR="005574F2" w14:paraId="7B2280D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2280D2" w14:textId="77777777" w:rsidR="005574F2" w:rsidRDefault="00000000">
            <w:r>
              <w:rPr>
                <w:b/>
                <w:bCs/>
                <w:sz w:val="18"/>
                <w:szCs w:val="18"/>
              </w:rPr>
              <w:t>Endpoint performance counters (boot time, AppCrashCount, AvgProcessorUsage)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2280D3" w14:textId="77777777" w:rsidR="005574F2" w:rsidRDefault="00000000">
            <w:r>
              <w:rPr>
                <w:sz w:val="18"/>
                <w:szCs w:val="18"/>
              </w:rPr>
              <w:t>Favorable, with caveats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2280D4" w14:textId="77777777" w:rsidR="005574F2" w:rsidRDefault="00000000">
            <w:r>
              <w:rPr>
                <w:sz w:val="18"/>
                <w:szCs w:val="18"/>
              </w:rPr>
              <w:t>Anonymized perf data fits the deterministic-telemetry framing. Per-user-identified perf data approaches the “likely impact” line and may not.</w:t>
            </w:r>
          </w:p>
        </w:tc>
      </w:tr>
      <w:tr w:rsidR="005574F2" w14:paraId="7B2280D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2280D6" w14:textId="77777777" w:rsidR="005574F2" w:rsidRDefault="00000000">
            <w:r>
              <w:rPr>
                <w:b/>
                <w:bCs/>
                <w:sz w:val="18"/>
                <w:szCs w:val="18"/>
              </w:rPr>
              <w:t>Adoption Score behavioral baselines (chat/email ratios, mobility, content collaboration)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2280D7" w14:textId="77777777" w:rsidR="005574F2" w:rsidRDefault="00000000">
            <w:r>
              <w:rPr>
                <w:sz w:val="18"/>
                <w:szCs w:val="18"/>
              </w:rPr>
              <w:t xml:space="preserve">Mixed </w:t>
            </w:r>
            <w:proofErr w:type="gramStart"/>
            <w:r>
              <w:rPr>
                <w:sz w:val="18"/>
                <w:szCs w:val="18"/>
              </w:rPr>
              <w:t>to</w:t>
            </w:r>
            <w:proofErr w:type="gramEnd"/>
            <w:r>
              <w:rPr>
                <w:sz w:val="18"/>
                <w:szCs w:val="18"/>
              </w:rPr>
              <w:t xml:space="preserve"> unfavorable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2280D8" w14:textId="77777777" w:rsidR="005574F2" w:rsidRDefault="00000000">
            <w:r>
              <w:rPr>
                <w:sz w:val="18"/>
                <w:szCs w:val="18"/>
              </w:rPr>
              <w:t>User-behavior signals tied to identifiable communication. “Likely impact CIA of federal customer data” reads in.</w:t>
            </w:r>
          </w:p>
        </w:tc>
      </w:tr>
      <w:tr w:rsidR="005574F2" w14:paraId="7B2280D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2280DA" w14:textId="77777777" w:rsidR="005574F2" w:rsidRDefault="00000000">
            <w:r>
              <w:rPr>
                <w:b/>
                <w:bCs/>
                <w:sz w:val="18"/>
                <w:szCs w:val="18"/>
              </w:rPr>
              <w:t>Entra Identity Protection ML (impossible travel, atypical IP, leaked credentials)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5D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2280DB" w14:textId="77777777" w:rsidR="005574F2" w:rsidRDefault="00000000">
            <w:r>
              <w:rPr>
                <w:sz w:val="18"/>
                <w:szCs w:val="18"/>
              </w:rPr>
              <w:t>Unfavorable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2280DC" w14:textId="77777777" w:rsidR="005574F2" w:rsidRDefault="00000000">
            <w:r>
              <w:rPr>
                <w:sz w:val="18"/>
                <w:szCs w:val="18"/>
              </w:rPr>
              <w:t>Sign-in events handle federal customer data by routine — fail prong (1) directly.</w:t>
            </w:r>
          </w:p>
        </w:tc>
      </w:tr>
      <w:tr w:rsidR="005574F2" w14:paraId="7B2280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2280DE" w14:textId="77777777" w:rsidR="005574F2" w:rsidRDefault="00000000">
            <w:r>
              <w:rPr>
                <w:b/>
                <w:bCs/>
                <w:sz w:val="18"/>
                <w:szCs w:val="18"/>
              </w:rPr>
              <w:t>DLP behavioral analytics, sensitivity-label analytics, Copilot prompt richness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5D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2280DF" w14:textId="77777777" w:rsidR="005574F2" w:rsidRDefault="00000000">
            <w:r>
              <w:rPr>
                <w:sz w:val="18"/>
                <w:szCs w:val="18"/>
              </w:rPr>
              <w:t>Unfavorable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2280E0" w14:textId="77777777" w:rsidR="005574F2" w:rsidRDefault="00000000">
            <w:r>
              <w:rPr>
                <w:sz w:val="18"/>
                <w:szCs w:val="18"/>
              </w:rPr>
              <w:t>Content-adjacent and policy-event-bearing — fail prong (1).</w:t>
            </w:r>
          </w:p>
        </w:tc>
      </w:tr>
      <w:tr w:rsidR="005574F2" w14:paraId="7B2280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2280E2" w14:textId="77777777" w:rsidR="005574F2" w:rsidRDefault="00000000">
            <w:r>
              <w:rPr>
                <w:b/>
                <w:bCs/>
                <w:sz w:val="18"/>
                <w:szCs w:val="18"/>
              </w:rPr>
              <w:t>CAE real-time revocation paths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2280E3" w14:textId="77777777" w:rsidR="005574F2" w:rsidRDefault="00000000">
            <w:r>
              <w:rPr>
                <w:sz w:val="18"/>
                <w:szCs w:val="18"/>
              </w:rPr>
              <w:t>Neutral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2280E4" w14:textId="77777777" w:rsidR="005574F2" w:rsidRDefault="00000000">
            <w:r>
              <w:rPr>
                <w:sz w:val="18"/>
                <w:szCs w:val="18"/>
              </w:rPr>
              <w:t>Not a scope problem; a cross-boundary signaling architecture problem. 20x does not address.</w:t>
            </w:r>
          </w:p>
        </w:tc>
      </w:tr>
    </w:tbl>
    <w:p w14:paraId="7B2280E6" w14:textId="77777777" w:rsidR="005574F2" w:rsidRDefault="00000000">
      <w:pPr>
        <w:spacing w:before="60" w:after="120" w:line="300" w:lineRule="auto"/>
      </w:pPr>
      <w:r>
        <w:rPr>
          <w:b/>
          <w:bCs/>
        </w:rPr>
        <w:t xml:space="preserve">Net. </w:t>
      </w:r>
      <w:r>
        <w:t xml:space="preserve">MAS-CSO-IIR plus MAS-CSO-MDI plausibly opens a path for roughly 30–40% of the prior gap matrix — the deterministic, measurement-only end. It does </w:t>
      </w:r>
      <w:r>
        <w:rPr>
          <w:i/>
          <w:iCs/>
        </w:rPr>
        <w:t xml:space="preserve">not </w:t>
      </w:r>
      <w:r>
        <w:t>close the identity / data / behavioral end where prong (1) reads in obviously. The boundary problem is necessary-but-not-sufficiently addressed.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574F2" w14:paraId="7B2280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6" w:color="1F3864"/>
              <w:left w:val="single" w:sz="6" w:space="6" w:color="1F3864"/>
              <w:bottom w:val="single" w:sz="6" w:space="6" w:color="1F3864"/>
              <w:right w:val="single" w:sz="6" w:space="6" w:color="1F3864"/>
            </w:tcBorders>
            <w:shd w:val="clear" w:color="auto" w:fill="EAF1FB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44D946A4" w14:textId="77777777" w:rsidR="00EE1627" w:rsidRDefault="00EE1627" w:rsidP="00EE1627">
            <w:pPr>
              <w:spacing w:after="80"/>
              <w:jc w:val="center"/>
              <w:rPr>
                <w:b/>
                <w:bCs/>
                <w:color w:val="1F3864"/>
                <w:sz w:val="20"/>
                <w:szCs w:val="20"/>
              </w:rPr>
            </w:pPr>
            <w:r>
              <w:rPr>
                <w:b/>
                <w:bCs/>
                <w:noProof/>
                <w:color w:val="1F3864"/>
                <w:sz w:val="20"/>
                <w:szCs w:val="20"/>
              </w:rPr>
              <w:drawing>
                <wp:inline distT="0" distB="0" distL="0" distR="0" wp14:anchorId="2D8C550B" wp14:editId="7F8CC340">
                  <wp:extent cx="4146343" cy="2263036"/>
                  <wp:effectExtent l="0" t="0" r="6985" b="4445"/>
                  <wp:docPr id="170977823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51452" cy="2265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2280E9" w14:textId="525E6324" w:rsidR="005574F2" w:rsidRDefault="00000000" w:rsidP="00EE1627">
            <w:pPr>
              <w:spacing w:after="80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Figure 2</w:t>
            </w:r>
          </w:p>
        </w:tc>
      </w:tr>
    </w:tbl>
    <w:p w14:paraId="7B2280EB" w14:textId="77777777" w:rsidR="005574F2" w:rsidRDefault="005574F2">
      <w:pPr>
        <w:spacing w:before="80" w:after="80"/>
      </w:pPr>
    </w:p>
    <w:p w14:paraId="7B2280EC" w14:textId="77777777" w:rsidR="005574F2" w:rsidRDefault="00000000">
      <w:pPr>
        <w:pStyle w:val="Heading1"/>
      </w:pPr>
      <w:r>
        <w:t>3. Three caveats before treating this as a remedy</w:t>
      </w:r>
    </w:p>
    <w:p w14:paraId="7B2280ED" w14:textId="77777777" w:rsidR="005574F2" w:rsidRDefault="00000000">
      <w:pPr>
        <w:pStyle w:val="ListParagraph"/>
        <w:numPr>
          <w:ilvl w:val="0"/>
          <w:numId w:val="2"/>
        </w:numPr>
        <w:spacing w:before="40" w:after="80" w:line="280" w:lineRule="auto"/>
      </w:pPr>
      <w:r>
        <w:rPr>
          <w:b/>
          <w:bCs/>
        </w:rPr>
        <w:t xml:space="preserve">The standard does not use the word “telemetry.” </w:t>
      </w:r>
      <w:r>
        <w:t>MAS-CSO uses “information resources” and “metadata.” Whether a given telemetry stream qualifies as descoped metadata is a 3PAO interpretation, not a documented carve-out. Commenters raised this during the public comment period; the standard was finalized without explicit telemetry language.</w:t>
      </w:r>
    </w:p>
    <w:p w14:paraId="7B2280EE" w14:textId="77777777" w:rsidR="005574F2" w:rsidRDefault="00000000">
      <w:pPr>
        <w:pStyle w:val="ListParagraph"/>
        <w:numPr>
          <w:ilvl w:val="0"/>
          <w:numId w:val="2"/>
        </w:numPr>
        <w:spacing w:before="40" w:after="80" w:line="280" w:lineRule="auto"/>
      </w:pPr>
      <w:r>
        <w:rPr>
          <w:b/>
          <w:bCs/>
        </w:rPr>
        <w:t xml:space="preserve">The “likely” test is intentionally broad. </w:t>
      </w:r>
      <w:r>
        <w:t xml:space="preserve">FedRAMP's published definition of “likely” is open to assessor judgment. The same signal could be in-scope for one CSP and out-of-scope for another. Interpretation </w:t>
      </w:r>
      <w:proofErr w:type="gramStart"/>
      <w:r>
        <w:t>drift</w:t>
      </w:r>
      <w:proofErr w:type="gramEnd"/>
      <w:r>
        <w:t xml:space="preserve"> across 3PAOs is a primary risk.</w:t>
      </w:r>
    </w:p>
    <w:p w14:paraId="7B2280EF" w14:textId="77777777" w:rsidR="005574F2" w:rsidRDefault="00000000">
      <w:pPr>
        <w:pStyle w:val="ListParagraph"/>
        <w:numPr>
          <w:ilvl w:val="0"/>
          <w:numId w:val="2"/>
        </w:numPr>
        <w:spacing w:before="40" w:after="80" w:line="280" w:lineRule="auto"/>
      </w:pPr>
      <w:r>
        <w:rPr>
          <w:b/>
          <w:bCs/>
        </w:rPr>
        <w:t xml:space="preserve">The CSP side </w:t>
      </w:r>
      <w:proofErr w:type="gramStart"/>
      <w:r>
        <w:rPr>
          <w:b/>
          <w:bCs/>
        </w:rPr>
        <w:t>has to</w:t>
      </w:r>
      <w:proofErr w:type="gramEnd"/>
      <w:r>
        <w:rPr>
          <w:b/>
          <w:bCs/>
        </w:rPr>
        <w:t xml:space="preserve"> act. </w:t>
      </w:r>
      <w:r>
        <w:t>MAS-CSO does not by itself cause Microsoft to ship Adoption Score, INR, or Endpoint Analytics Advanced into GCC-Moderate. It removes one of the formal obstacles to doing so under the Rev5 optional path; it does not motivate the engineering work.</w:t>
      </w:r>
    </w:p>
    <w:p w14:paraId="7B2280F0" w14:textId="77777777" w:rsidR="005574F2" w:rsidRDefault="00000000">
      <w:pPr>
        <w:pStyle w:val="Heading1"/>
      </w:pPr>
      <w:r>
        <w:t>4. Forward-looking note for the GCC-Moderate memo series</w:t>
      </w:r>
    </w:p>
    <w:p w14:paraId="7B2280F1" w14:textId="77777777" w:rsidR="005574F2" w:rsidRDefault="00000000">
      <w:pPr>
        <w:spacing w:before="60" w:after="120" w:line="300" w:lineRule="auto"/>
      </w:pPr>
      <w:r>
        <w:t>The two prior memos (the combined GCC-Moderate Telemetry &amp; Boundary Assessment, and the ThousandEyes Workaround Analysis) do not need to be rewritten. They benefit from one paragraph of context.</w:t>
      </w:r>
    </w:p>
    <w:p w14:paraId="7B2280F2" w14:textId="77777777" w:rsidR="005574F2" w:rsidRDefault="00000000">
      <w:pPr>
        <w:spacing w:before="60" w:after="120" w:line="300" w:lineRule="auto"/>
      </w:pPr>
      <w:r>
        <w:rPr>
          <w:b/>
          <w:bCs/>
        </w:rPr>
        <w:t xml:space="preserve">Suggested addition. </w:t>
      </w:r>
      <w:r>
        <w:t>FedRAMP 20x Phase 2 Pilot (active) and the Rev5 Balance Improvement Release for Minimum Assessment Scope (optional, available to existing Rev5-authorized packages) together provide a federal mechanism for descoping deterministic, measurement-only telemetry — including the network-path-metric class addressed by ThousandEyes — from the FedRAMP authorization boundary. This is favorable for the Networks pillar and the deterministic-telemetry subset of the Devices pillar. It does not, on its own authority, close the Identity, Data, or behavioral-analytics gaps; those remain CSP-roadmap items dependent on Microsoft engineering decisions.</w:t>
      </w:r>
    </w:p>
    <w:p w14:paraId="7B2280F3" w14:textId="77777777" w:rsidR="005574F2" w:rsidRDefault="00000000">
      <w:pPr>
        <w:pStyle w:val="Heading1"/>
      </w:pPr>
      <w:r>
        <w:t>5. Bottom line</w:t>
      </w:r>
    </w:p>
    <w:p w14:paraId="7B2280F4" w14:textId="77777777" w:rsidR="005574F2" w:rsidRDefault="00000000">
      <w:pPr>
        <w:spacing w:before="60" w:after="120" w:line="300" w:lineRule="auto"/>
      </w:pPr>
      <w:r>
        <w:rPr>
          <w:b/>
          <w:bCs/>
        </w:rPr>
        <w:t xml:space="preserve">20x is the federal ratification of continuous, evidence-based authorization. </w:t>
      </w:r>
      <w:r>
        <w:t>The boundary fight that defined the prior assessments is being replaced — not by removing the boundary, but by narrowing what counts as inside it (Minimum Assessment Scope) and changing the artifact a CSP produces to demonstrate compliance (Key Security Indicators). The strategic argument the prior memos made — that controls protecting federal information were creating an observability shadow zone — now has top cover from the FedRAMP framework itself.</w:t>
      </w:r>
    </w:p>
    <w:p w14:paraId="7B2280F5" w14:textId="77777777" w:rsidR="005574F2" w:rsidRDefault="00000000">
      <w:pPr>
        <w:spacing w:before="60" w:after="120" w:line="300" w:lineRule="auto"/>
      </w:pPr>
      <w:r>
        <w:rPr>
          <w:b/>
          <w:bCs/>
        </w:rPr>
        <w:t xml:space="preserve">What </w:t>
      </w:r>
      <w:proofErr w:type="gramStart"/>
      <w:r>
        <w:rPr>
          <w:b/>
          <w:bCs/>
        </w:rPr>
        <w:t>this</w:t>
      </w:r>
      <w:proofErr w:type="gramEnd"/>
      <w:r>
        <w:rPr>
          <w:b/>
          <w:bCs/>
        </w:rPr>
        <w:t xml:space="preserve"> changes operationally for an agency in GCC-Moderate today: </w:t>
      </w:r>
      <w:r>
        <w:t xml:space="preserve">very little until Microsoft files a 20x-aligned package or opts into the Rev5 Balance Improvement Releases for the GCC-Moderate </w:t>
      </w:r>
      <w:r>
        <w:lastRenderedPageBreak/>
        <w:t xml:space="preserve">offering. </w:t>
      </w:r>
      <w:proofErr w:type="gramStart"/>
      <w:r>
        <w:t>What it</w:t>
      </w:r>
      <w:proofErr w:type="gramEnd"/>
      <w:r>
        <w:t xml:space="preserve"> changes strategically: the negotiation surface. Agency requests for descoped telemetry now have a named, documented mechanism to point at.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574F2" w14:paraId="7B2280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6" w:color="1F3864"/>
              <w:left w:val="single" w:sz="6" w:space="6" w:color="1F3864"/>
              <w:bottom w:val="single" w:sz="6" w:space="6" w:color="1F3864"/>
              <w:right w:val="single" w:sz="6" w:space="6" w:color="1F3864"/>
            </w:tcBorders>
            <w:shd w:val="clear" w:color="auto" w:fill="EAF1FB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5ECFA330" w14:textId="146BB301" w:rsidR="00EE1627" w:rsidRDefault="00EE1627">
            <w:pPr>
              <w:spacing w:after="80"/>
              <w:jc w:val="center"/>
              <w:rPr>
                <w:b/>
                <w:bCs/>
                <w:color w:val="1F3864"/>
                <w:sz w:val="20"/>
                <w:szCs w:val="20"/>
              </w:rPr>
            </w:pPr>
            <w:r>
              <w:rPr>
                <w:b/>
                <w:bCs/>
                <w:noProof/>
                <w:color w:val="1F3864"/>
                <w:sz w:val="20"/>
                <w:szCs w:val="20"/>
              </w:rPr>
              <w:drawing>
                <wp:inline distT="0" distB="0" distL="0" distR="0" wp14:anchorId="07EF657E" wp14:editId="5B7701CC">
                  <wp:extent cx="4291965" cy="2342515"/>
                  <wp:effectExtent l="0" t="0" r="0" b="635"/>
                  <wp:docPr id="58453678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91965" cy="2342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2280F8" w14:textId="5FD3CD47" w:rsidR="005574F2" w:rsidRDefault="00000000" w:rsidP="00EE1627">
            <w:pPr>
              <w:spacing w:after="80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Figure 3</w:t>
            </w:r>
          </w:p>
        </w:tc>
      </w:tr>
    </w:tbl>
    <w:p w14:paraId="7B2280FA" w14:textId="77777777" w:rsidR="005574F2" w:rsidRDefault="005574F2">
      <w:pPr>
        <w:spacing w:before="80" w:after="80"/>
      </w:pPr>
    </w:p>
    <w:p w14:paraId="7B2280FB" w14:textId="77777777" w:rsidR="005574F2" w:rsidRDefault="00000000">
      <w:pPr>
        <w:pStyle w:val="Heading1"/>
      </w:pPr>
      <w:r>
        <w:t>6. Authoritative references</w:t>
      </w:r>
    </w:p>
    <w:p w14:paraId="7B2280FC" w14:textId="77777777" w:rsidR="005574F2" w:rsidRDefault="00000000">
      <w:pPr>
        <w:pStyle w:val="ListParagraph"/>
        <w:numPr>
          <w:ilvl w:val="0"/>
          <w:numId w:val="2"/>
        </w:numPr>
        <w:spacing w:before="40" w:after="80" w:line="280" w:lineRule="auto"/>
      </w:pPr>
      <w:r>
        <w:t>FedRAMP 20x — index of Phase 2 Pilot requirements: https://www.fedramp.gov/docs/20x/</w:t>
      </w:r>
    </w:p>
    <w:p w14:paraId="7B2280FD" w14:textId="77777777" w:rsidR="005574F2" w:rsidRDefault="00000000">
      <w:pPr>
        <w:pStyle w:val="ListParagraph"/>
        <w:numPr>
          <w:ilvl w:val="0"/>
          <w:numId w:val="2"/>
        </w:numPr>
        <w:spacing w:before="40" w:after="80" w:line="280" w:lineRule="auto"/>
      </w:pPr>
      <w:r>
        <w:t>Minimum Assessment Scope — MAS-CSO-IIR, MAS-CSO-FLO, MAS-CSO-TPR, MAS-CSO-MDI, MAS-CSO-SUP: https://www.fedramp.gov/docs/20x/minimum-assessment-scope/</w:t>
      </w:r>
    </w:p>
    <w:p w14:paraId="7B2280FE" w14:textId="77777777" w:rsidR="005574F2" w:rsidRDefault="00000000">
      <w:pPr>
        <w:pStyle w:val="ListParagraph"/>
        <w:numPr>
          <w:ilvl w:val="0"/>
          <w:numId w:val="2"/>
        </w:numPr>
        <w:spacing w:before="40" w:after="80" w:line="280" w:lineRule="auto"/>
      </w:pPr>
      <w:r>
        <w:t>Key Security Indicators — eleven families and their mappings: https://www.fedramp.gov/docs/20x/key-security-indicators/</w:t>
      </w:r>
    </w:p>
    <w:p w14:paraId="7B2280FF" w14:textId="77777777" w:rsidR="005574F2" w:rsidRDefault="00000000">
      <w:pPr>
        <w:pStyle w:val="ListParagraph"/>
        <w:numPr>
          <w:ilvl w:val="0"/>
          <w:numId w:val="2"/>
        </w:numPr>
        <w:spacing w:before="40" w:after="80" w:line="280" w:lineRule="auto"/>
      </w:pPr>
      <w:r>
        <w:t>Rev5 Balance Improvement Releases — Optional opt-in path for existing Rev5 packages: https://www.fedramp.gov/docs/rev5/balance/</w:t>
      </w:r>
    </w:p>
    <w:p w14:paraId="7B228100" w14:textId="77777777" w:rsidR="005574F2" w:rsidRDefault="00000000">
      <w:pPr>
        <w:pStyle w:val="ListParagraph"/>
        <w:numPr>
          <w:ilvl w:val="0"/>
          <w:numId w:val="2"/>
        </w:numPr>
        <w:spacing w:before="40" w:after="80" w:line="280" w:lineRule="auto"/>
      </w:pPr>
      <w:r>
        <w:t>M-24-15 — OMB memorandum providing the policy basis for the modernization: https://www.fedramp.gov/docs/authority/m-24-15/</w:t>
      </w:r>
    </w:p>
    <w:p w14:paraId="7B228101" w14:textId="77777777" w:rsidR="005574F2" w:rsidRDefault="00000000">
      <w:pPr>
        <w:pStyle w:val="ListParagraph"/>
        <w:numPr>
          <w:ilvl w:val="0"/>
          <w:numId w:val="2"/>
        </w:numPr>
        <w:spacing w:before="40" w:after="80" w:line="280" w:lineRule="auto"/>
      </w:pPr>
      <w:r>
        <w:t>FedRAMP Authorization Act — statutory basis: https://www.fedramp.gov/docs/authority/law/</w:t>
      </w:r>
    </w:p>
    <w:sectPr w:rsidR="005574F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7B7421"/>
    <w:multiLevelType w:val="hybridMultilevel"/>
    <w:tmpl w:val="EE88690C"/>
    <w:lvl w:ilvl="0" w:tplc="863A07CC">
      <w:start w:val="1"/>
      <w:numFmt w:val="bullet"/>
      <w:lvlText w:val="•"/>
      <w:lvlJc w:val="left"/>
      <w:pPr>
        <w:ind w:left="720" w:hanging="360"/>
      </w:pPr>
    </w:lvl>
    <w:lvl w:ilvl="1" w:tplc="89C26A34">
      <w:start w:val="1"/>
      <w:numFmt w:val="bullet"/>
      <w:lvlText w:val="◦"/>
      <w:lvlJc w:val="left"/>
      <w:pPr>
        <w:ind w:left="1440" w:hanging="360"/>
      </w:pPr>
    </w:lvl>
    <w:lvl w:ilvl="2" w:tplc="ECD8AD18">
      <w:numFmt w:val="decimal"/>
      <w:lvlText w:val=""/>
      <w:lvlJc w:val="left"/>
    </w:lvl>
    <w:lvl w:ilvl="3" w:tplc="1C809C32">
      <w:numFmt w:val="decimal"/>
      <w:lvlText w:val=""/>
      <w:lvlJc w:val="left"/>
    </w:lvl>
    <w:lvl w:ilvl="4" w:tplc="8F367E72">
      <w:numFmt w:val="decimal"/>
      <w:lvlText w:val=""/>
      <w:lvlJc w:val="left"/>
    </w:lvl>
    <w:lvl w:ilvl="5" w:tplc="8228D756">
      <w:numFmt w:val="decimal"/>
      <w:lvlText w:val=""/>
      <w:lvlJc w:val="left"/>
    </w:lvl>
    <w:lvl w:ilvl="6" w:tplc="9C702610">
      <w:numFmt w:val="decimal"/>
      <w:lvlText w:val=""/>
      <w:lvlJc w:val="left"/>
    </w:lvl>
    <w:lvl w:ilvl="7" w:tplc="B122FDB0">
      <w:numFmt w:val="decimal"/>
      <w:lvlText w:val=""/>
      <w:lvlJc w:val="left"/>
    </w:lvl>
    <w:lvl w:ilvl="8" w:tplc="FA22A13A">
      <w:numFmt w:val="decimal"/>
      <w:lvlText w:val=""/>
      <w:lvlJc w:val="left"/>
    </w:lvl>
  </w:abstractNum>
  <w:abstractNum w:abstractNumId="1" w15:restartNumberingAfterBreak="0">
    <w:nsid w:val="75AD3B68"/>
    <w:multiLevelType w:val="hybridMultilevel"/>
    <w:tmpl w:val="8EAA9000"/>
    <w:lvl w:ilvl="0" w:tplc="F3D28152">
      <w:start w:val="1"/>
      <w:numFmt w:val="bullet"/>
      <w:lvlText w:val="●"/>
      <w:lvlJc w:val="left"/>
      <w:pPr>
        <w:ind w:left="720" w:hanging="360"/>
      </w:pPr>
    </w:lvl>
    <w:lvl w:ilvl="1" w:tplc="B04281D2">
      <w:start w:val="1"/>
      <w:numFmt w:val="bullet"/>
      <w:lvlText w:val="○"/>
      <w:lvlJc w:val="left"/>
      <w:pPr>
        <w:ind w:left="1440" w:hanging="360"/>
      </w:pPr>
    </w:lvl>
    <w:lvl w:ilvl="2" w:tplc="CA886B98">
      <w:start w:val="1"/>
      <w:numFmt w:val="bullet"/>
      <w:lvlText w:val="■"/>
      <w:lvlJc w:val="left"/>
      <w:pPr>
        <w:ind w:left="2160" w:hanging="360"/>
      </w:pPr>
    </w:lvl>
    <w:lvl w:ilvl="3" w:tplc="40382988">
      <w:start w:val="1"/>
      <w:numFmt w:val="bullet"/>
      <w:lvlText w:val="●"/>
      <w:lvlJc w:val="left"/>
      <w:pPr>
        <w:ind w:left="2880" w:hanging="360"/>
      </w:pPr>
    </w:lvl>
    <w:lvl w:ilvl="4" w:tplc="CBA40BA4">
      <w:start w:val="1"/>
      <w:numFmt w:val="bullet"/>
      <w:lvlText w:val="○"/>
      <w:lvlJc w:val="left"/>
      <w:pPr>
        <w:ind w:left="3600" w:hanging="360"/>
      </w:pPr>
    </w:lvl>
    <w:lvl w:ilvl="5" w:tplc="E07A3246">
      <w:start w:val="1"/>
      <w:numFmt w:val="bullet"/>
      <w:lvlText w:val="■"/>
      <w:lvlJc w:val="left"/>
      <w:pPr>
        <w:ind w:left="4320" w:hanging="360"/>
      </w:pPr>
    </w:lvl>
    <w:lvl w:ilvl="6" w:tplc="F7FADDBC">
      <w:start w:val="1"/>
      <w:numFmt w:val="bullet"/>
      <w:lvlText w:val="●"/>
      <w:lvlJc w:val="left"/>
      <w:pPr>
        <w:ind w:left="5040" w:hanging="360"/>
      </w:pPr>
    </w:lvl>
    <w:lvl w:ilvl="7" w:tplc="F5B0E830">
      <w:start w:val="1"/>
      <w:numFmt w:val="bullet"/>
      <w:lvlText w:val="●"/>
      <w:lvlJc w:val="left"/>
      <w:pPr>
        <w:ind w:left="5760" w:hanging="360"/>
      </w:pPr>
    </w:lvl>
    <w:lvl w:ilvl="8" w:tplc="13203256">
      <w:start w:val="1"/>
      <w:numFmt w:val="bullet"/>
      <w:lvlText w:val="●"/>
      <w:lvlJc w:val="left"/>
      <w:pPr>
        <w:ind w:left="6480" w:hanging="360"/>
      </w:pPr>
    </w:lvl>
  </w:abstractNum>
  <w:num w:numId="1" w16cid:durableId="99300467">
    <w:abstractNumId w:val="1"/>
    <w:lvlOverride w:ilvl="0">
      <w:startOverride w:val="1"/>
    </w:lvlOverride>
  </w:num>
  <w:num w:numId="2" w16cid:durableId="17672671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74F2"/>
    <w:rsid w:val="00407BD3"/>
    <w:rsid w:val="005574F2"/>
    <w:rsid w:val="00BC13A7"/>
    <w:rsid w:val="00EE1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280A6"/>
  <w15:docId w15:val="{BAA1E994-CE89-46D3-9C88-2DAC9D804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F3864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72896A-16CD-4F9E-A277-C49A2E41DF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1296</Words>
  <Characters>7391</Characters>
  <Application>Microsoft Office Word</Application>
  <DocSecurity>0</DocSecurity>
  <Lines>61</Lines>
  <Paragraphs>17</Paragraphs>
  <ScaleCrop>false</ScaleCrop>
  <Company/>
  <LinksUpToDate>false</LinksUpToDate>
  <CharactersWithSpaces>8670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FedRAMP 20x — Assessment &amp; Implications</dc:title>
  <dc:creator>Assessment Team</dc:creator>
  <cp:lastModifiedBy>Michael Stratton</cp:lastModifiedBy>
  <cp:revision>3</cp:revision>
  <dcterms:created xsi:type="dcterms:W3CDTF">2026-04-27T17:05:00Z</dcterms:created>
  <dcterms:modified xsi:type="dcterms:W3CDTF">2026-04-27T18:09:00Z</dcterms:modified>
</cp:coreProperties>
</file>