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7449374f31b7fd718f8b7a4826f5853e21136d3"/>
    <w:p>
      <w:pPr>
        <w:pStyle w:val="Heading1"/>
      </w:pPr>
      <w:r>
        <w:t xml:space="preserve">The Overlay Pillar: Fabric Automation &amp; Segmentation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Overlay Plane</w:t>
      </w:r>
      <w:r>
        <w:t xml:space="preserve"> </w:t>
      </w:r>
      <w:r>
        <w:t xml:space="preserve">decouples the agency’s logical network from the underlying physical hardware. Utilizing VXLAN encapsulation and Cisco SD-Access, we create a programmable fabric.</w:t>
      </w:r>
    </w:p>
    <w:bookmarkStart w:id="22" w:name="strategic-impact"/>
    <w:p>
      <w:pPr>
        <w:pStyle w:val="Heading2"/>
      </w:pPr>
      <w:r>
        <w:t xml:space="preserve">Strategic Impact</w:t>
      </w:r>
    </w:p>
    <w:p>
      <w:pPr>
        <w:pStyle w:val="FirstParagraph"/>
      </w:pPr>
      <w:r>
        <w:t xml:space="preserve">The Overlay Pillar is the primary mechanism for enforcing the</w:t>
      </w:r>
      <w:r>
        <w:t xml:space="preserve"> </w:t>
      </w:r>
      <w:r>
        <w:rPr>
          <w:bCs/>
          <w:b/>
        </w:rPr>
        <w:t xml:space="preserve">Zero-Trust</w:t>
      </w:r>
      <w:r>
        <w:t xml:space="preserve"> </w:t>
      </w:r>
      <w:r>
        <w:t xml:space="preserve">mandates defined in</w:t>
      </w:r>
      <w:r>
        <w:t xml:space="preserve"> </w:t>
      </w:r>
      <w:r>
        <w:rPr>
          <w:bCs/>
          <w:b/>
        </w:rPr>
        <w:t xml:space="preserve">FedRAMP 20x Phase 2</w:t>
      </w:r>
      <w:r>
        <w:t xml:space="preserve">. It allows us to apply security policies to</w:t>
      </w:r>
      <w:r>
        <w:t xml:space="preserve"> </w:t>
      </w:r>
      <w:r>
        <w:rPr>
          <w:iCs/>
          <w:i/>
        </w:rPr>
        <w:t xml:space="preserve">identities</w:t>
      </w:r>
      <w:r>
        <w:t xml:space="preserve"> </w:t>
      </w:r>
      <w:r>
        <w:t xml:space="preserve">(SGTs) rather than</w:t>
      </w:r>
      <w:r>
        <w:t xml:space="preserve"> </w:t>
      </w:r>
      <w:r>
        <w:rPr>
          <w:iCs/>
          <w:i/>
        </w:rPr>
        <w:t xml:space="preserve">locations</w:t>
      </w:r>
      <w:r>
        <w:t xml:space="preserve">.</w:t>
      </w:r>
    </w:p>
    <w:bookmarkStart w:id="20" w:name="technical-advantages"/>
    <w:p>
      <w:pPr>
        <w:pStyle w:val="Heading3"/>
      </w:pPr>
      <w:r>
        <w:t xml:space="preserve">Technical Advantages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Micro-segmentation:</w:t>
      </w:r>
      <w:r>
        <w:t xml:space="preserve"> </w:t>
      </w:r>
      <w:r>
        <w:t xml:space="preserve">Prevents lateral movement across the agency datacenter by enforcing SGACLs at the edge 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Macro-segmentation:</w:t>
      </w:r>
      <w:r>
        <w:t xml:space="preserve"> </w:t>
      </w:r>
      <w:r>
        <w:t xml:space="preserve">Maintains strict isolation between production, development, and guest environments at the VRF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Simplicity:</w:t>
      </w:r>
      <w:r>
        <w:t xml:space="preserve"> </w:t>
      </w:r>
      <w:r>
        <w:t xml:space="preserve">Removes the need for complex, manual VLAN spanning and STP management.</w:t>
      </w:r>
    </w:p>
    <w:bookmarkEnd w:id="20"/>
    <w:bookmarkStart w:id="21" w:name="roadmap-to-phase-3"/>
    <w:p>
      <w:pPr>
        <w:pStyle w:val="Heading3"/>
      </w:pPr>
      <w:r>
        <w:t xml:space="preserve">Roadmap to Phase 3</w:t>
      </w:r>
    </w:p>
    <w:p>
      <w:pPr>
        <w:pStyle w:val="FirstParagraph"/>
      </w:pPr>
      <w:r>
        <w:t xml:space="preserve">As we conclude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on March 31, the Overlay Pillar provides the foundation for Phase 3 (Q3 2026).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2026-03-22T13:02:37Z</dcterms:created>
  <dcterms:modified xsi:type="dcterms:W3CDTF">2026-03-22T13:02:37Z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