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</w:t>
      </w:r>
      <w:r>
        <w:t xml:space="preserve"> </w:t>
      </w:r>
      <w:r>
        <w:t xml:space="preserve">15</w:t>
      </w:r>
      <w:r>
        <w:t xml:space="preserve"> </w:t>
      </w:r>
      <w:r>
        <w:t xml:space="preserve">—</w:t>
      </w:r>
      <w:r>
        <w:t xml:space="preserve"> </w:t>
      </w:r>
      <w:r>
        <w:t xml:space="preserve">Federal</w:t>
      </w:r>
      <w:r>
        <w:t xml:space="preserve"> </w:t>
      </w:r>
      <w:r>
        <w:t xml:space="preserve">Application-Aware</w:t>
      </w:r>
      <w:r>
        <w:t xml:space="preserve"> </w:t>
      </w:r>
      <w:r>
        <w:t xml:space="preserve">Networking</w:t>
      </w:r>
      <w:r>
        <w:t xml:space="preserve"> </w:t>
      </w:r>
      <w:r>
        <w:t xml:space="preserve">—</w:t>
      </w:r>
      <w:r>
        <w:t xml:space="preserve"> </w:t>
      </w:r>
      <w:r>
        <w:t xml:space="preserve">Part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Cybersecurity</w:t>
      </w:r>
      <w:r>
        <w:t xml:space="preserve"> </w:t>
      </w:r>
      <w:r>
        <w:t xml:space="preserve">Awareness</w:t>
      </w:r>
      <w:r>
        <w:t xml:space="preserve"> </w:t>
      </w:r>
      <w:r>
        <w:t xml:space="preserve">and</w:t>
      </w:r>
      <w:r>
        <w:t xml:space="preserve"> </w:t>
      </w:r>
      <w:r>
        <w:t xml:space="preserve">Training</w:t>
      </w:r>
      <w:r>
        <w:t xml:space="preserve"> </w:t>
      </w:r>
      <w:r>
        <w:t xml:space="preserve">Program:</w:t>
      </w:r>
      <w:r>
        <w:t xml:space="preserve"> </w:t>
      </w:r>
      <w:r>
        <w:t xml:space="preserve">AT</w:t>
      </w:r>
      <w:r>
        <w:t xml:space="preserve"> </w:t>
      </w:r>
      <w:r>
        <w:t xml:space="preserve">Family,</w:t>
      </w:r>
      <w:r>
        <w:t xml:space="preserve"> </w:t>
      </w:r>
      <w:r>
        <w:t xml:space="preserve">LMS</w:t>
      </w:r>
      <w:r>
        <w:t xml:space="preserve"> </w:t>
      </w:r>
      <w:r>
        <w:t xml:space="preserve">Evidence</w:t>
      </w:r>
      <w:r>
        <w:t xml:space="preserve"> </w:t>
      </w:r>
      <w:r>
        <w:t xml:space="preserve">Integration,</w:t>
      </w:r>
      <w:r>
        <w:t xml:space="preserve"> </w:t>
      </w:r>
      <w:r>
        <w:t xml:space="preserve">and</w:t>
      </w:r>
      <w:r>
        <w:t xml:space="preserve"> </w:t>
      </w:r>
      <w:r>
        <w:t xml:space="preserve">KSI-CED-RAT</w:t>
      </w:r>
      <w:r>
        <w:t xml:space="preserve"> </w:t>
      </w:r>
      <w:r>
        <w:t xml:space="preserve">Activation</w:t>
      </w:r>
      <w:r>
        <w:t xml:space="preserve"> </w:t>
      </w:r>
      <w:r>
        <w:t xml:space="preserve">for</w:t>
      </w:r>
      <w:r>
        <w:t xml:space="preserve"> </w:t>
      </w:r>
      <w:r>
        <w:t xml:space="preserve">FedRAMP</w:t>
      </w:r>
      <w:r>
        <w:t xml:space="preserve"> </w:t>
      </w:r>
      <w:r>
        <w:t xml:space="preserve">20x</w:t>
      </w:r>
    </w:p>
    <w:p>
      <w:pPr>
        <w:pStyle w:val="Author"/>
      </w:pPr>
      <w:r>
        <w:t xml:space="preserve">SSA</w:t>
      </w:r>
      <w:r>
        <w:t xml:space="preserve"> </w:t>
      </w:r>
      <w:r>
        <w:t xml:space="preserve">Cloud</w:t>
      </w:r>
      <w:r>
        <w:t xml:space="preserve"> </w:t>
      </w:r>
      <w:r>
        <w:t xml:space="preserve">Services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4,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INTERNAL — NOT FOR PUBLIC DISTRIBUTION</w:t>
      </w:r>
    </w:p>
    <w:bookmarkStart w:id="20" w:name="what-this-document-addresse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What This Document Addresses</w:t>
      </w:r>
    </w:p>
    <w:p>
      <w:pPr>
        <w:pStyle w:val="FirstParagraph"/>
      </w:pPr>
      <w:r>
        <w:t xml:space="preserve">FedRAMP 20x authorization requires that a cybersecurity training program be</w:t>
      </w:r>
      <w:r>
        <w:t xml:space="preserve"> </w:t>
      </w:r>
      <w:r>
        <w:t xml:space="preserve">continuously demonstrable — not as a policy assertion, but as a</w:t>
      </w:r>
      <w:r>
        <w:t xml:space="preserve"> </w:t>
      </w:r>
      <w:r>
        <w:t xml:space="preserve">machine-readable record of completion across four distinct training</w:t>
      </w:r>
      <w:r>
        <w:t xml:space="preserve"> </w:t>
      </w:r>
      <w:r>
        <w:t xml:space="preserve">dimensions. This is the last remaining KSI that the fourteen-book series</w:t>
      </w:r>
      <w:r>
        <w:t xml:space="preserve"> </w:t>
      </w:r>
      <w:r>
        <w:t xml:space="preserve">cannot close through network, identity, or security architecture artifacts</w:t>
      </w:r>
      <w:r>
        <w:t xml:space="preserve"> </w:t>
      </w:r>
      <w:r>
        <w:t xml:space="preserve">alone: training requires a human participation record.</w:t>
      </w:r>
    </w:p>
    <w:p>
      <w:pPr>
        <w:pStyle w:val="BodyText"/>
      </w:pPr>
      <w:r>
        <w:t xml:space="preserve">This document provides: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Training Program Architecture</w:t>
      </w:r>
      <w:r>
        <w:t xml:space="preserve"> </w:t>
      </w:r>
      <w:r>
        <w:t xml:space="preserve">— the four-dimension model required by</w:t>
      </w:r>
      <w:r>
        <w:t xml:space="preserve"> </w:t>
      </w:r>
      <w:r>
        <w:t xml:space="preserve">KSI-CED-RAT, mapped to AT-2, AT-3, AT-4, CP-3, and IR-2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General Security Awareness Training (AT-2)</w:t>
      </w:r>
      <w:r>
        <w:t xml:space="preserve"> </w:t>
      </w:r>
      <w:r>
        <w:t xml:space="preserve">— annual all-employee</w:t>
      </w:r>
      <w:r>
        <w:t xml:space="preserve"> </w:t>
      </w:r>
      <w:r>
        <w:t xml:space="preserve">program design, content requirements, and GCC Moderate delivery options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Role-Based Training Program (AT-3)</w:t>
      </w:r>
      <w:r>
        <w:t xml:space="preserve"> </w:t>
      </w:r>
      <w:r>
        <w:t xml:space="preserve">— training matrices for six</w:t>
      </w:r>
      <w:r>
        <w:t xml:space="preserve"> </w:t>
      </w:r>
      <w:r>
        <w:t xml:space="preserve">high-risk role categories: system administrators, developers/engineers,</w:t>
      </w:r>
      <w:r>
        <w:t xml:space="preserve"> </w:t>
      </w:r>
      <w:r>
        <w:t xml:space="preserve">privileged access users, incident responders, data stewards, and</w:t>
      </w:r>
      <w:r>
        <w:t xml:space="preserve"> </w:t>
      </w:r>
      <w:r>
        <w:t xml:space="preserve">executives/program managers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Training Records and LMS Integration (AT-4)</w:t>
      </w:r>
      <w:r>
        <w:t xml:space="preserve"> </w:t>
      </w:r>
      <w:r>
        <w:t xml:space="preserve">— machine-readable</w:t>
      </w:r>
      <w:r>
        <w:t xml:space="preserve"> </w:t>
      </w:r>
      <w:r>
        <w:t xml:space="preserve">completion record schema, Microsoft Viva Learning integration, and</w:t>
      </w:r>
      <w:r>
        <w:t xml:space="preserve"> </w:t>
      </w:r>
      <w:r>
        <w:t xml:space="preserve">export format for the UIAO governance substrate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Contingency Training (CP-3)</w:t>
      </w:r>
      <w:r>
        <w:t xml:space="preserve"> </w:t>
      </w:r>
      <w:r>
        <w:t xml:space="preserve">— tabletop exercise calendar and</w:t>
      </w:r>
      <w:r>
        <w:t xml:space="preserve"> </w:t>
      </w:r>
      <w:r>
        <w:t xml:space="preserve">attendance documentation linking to Part 11 DR runbooks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Incident Response Training (IR-2)</w:t>
      </w:r>
      <w:r>
        <w:t xml:space="preserve"> </w:t>
      </w:r>
      <w:r>
        <w:t xml:space="preserve">— drill cadence, scenario library,</w:t>
      </w:r>
      <w:r>
        <w:t xml:space="preserve"> </w:t>
      </w:r>
      <w:r>
        <w:t xml:space="preserve">and after-action documentation linking to Part 10 Sentinel playbooks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KSI-CED-RAT Activation</w:t>
      </w:r>
      <w:r>
        <w:t xml:space="preserve"> </w:t>
      </w:r>
      <w:r>
        <w:t xml:space="preserve">— evidence contract wiring for KSI-022,</w:t>
      </w:r>
      <w:r>
        <w:t xml:space="preserve"> </w:t>
      </w:r>
      <w:r>
        <w:t xml:space="preserve">completing all 29 CR26 KSIs to evaluable status</w:t>
      </w:r>
    </w:p>
    <w:p>
      <w:pPr>
        <w:pStyle w:val="FirstParagraph"/>
      </w:pPr>
      <w:r>
        <w:t xml:space="preserve">Together these artifacts close five NIST SP 800-53 Rev 5 controls across</w:t>
      </w:r>
      <w:r>
        <w:t xml:space="preserve"> </w:t>
      </w:r>
      <w:r>
        <w:t xml:space="preserve">the AT, CP, and IR families, activate the final scaffold KSI in the UIAO</w:t>
      </w:r>
      <w:r>
        <w:t xml:space="preserve"> </w:t>
      </w:r>
      <w:r>
        <w:t xml:space="preserve">ruleset, and produce the machine-readable training-effectiveness record</w:t>
      </w:r>
      <w:r>
        <w:t xml:space="preserve"> </w:t>
      </w:r>
      <w:r>
        <w:t xml:space="preserve">required for FedRAMP 20x continuous monitoring.</w:t>
      </w:r>
    </w:p>
    <w:p>
      <w:r>
        <w:pict>
          <v:rect style="width:0;height:1.5pt" o:hralign="center" o:hrstd="t" o:hr="t"/>
        </w:pict>
      </w:r>
    </w:p>
    <w:bookmarkEnd w:id="20"/>
    <w:bookmarkStart w:id="24" w:name="X225662609e730bef0f7f410a047a24f25cc1c08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Cybersecurity Training in the FedRAMP 20x Context</w:t>
      </w:r>
    </w:p>
    <w:bookmarkStart w:id="21" w:name="Xa8f12a9ad2cc53cad5d035299ebf6be0774842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Why Training Cannot Be Closed by Architecture Alone</w:t>
      </w:r>
    </w:p>
    <w:p>
      <w:pPr>
        <w:pStyle w:val="FirstParagraph"/>
      </w:pPr>
      <w:r>
        <w:t xml:space="preserve">Every other control family in this series can be closed by infrastructure</w:t>
      </w:r>
      <w:r>
        <w:t xml:space="preserve"> </w:t>
      </w:r>
      <w:r>
        <w:t xml:space="preserve">configuration — a DNS resolver enforces SC-7, an Entra Conditional Access</w:t>
      </w:r>
      <w:r>
        <w:t xml:space="preserve"> </w:t>
      </w:r>
      <w:r>
        <w:t xml:space="preserve">policy enforces AC-3, a Sentinel rule satisfies AU-6. Training controls are</w:t>
      </w:r>
      <w:r>
        <w:t xml:space="preserve"> </w:t>
      </w:r>
      <w:r>
        <w:t xml:space="preserve">different. AT-2, AT-3, and AT-4 require human participation recorded in a</w:t>
      </w:r>
      <w:r>
        <w:t xml:space="preserve"> </w:t>
      </w:r>
      <w:r>
        <w:t xml:space="preserve">system that produces queryable completion evidence.</w:t>
      </w:r>
    </w:p>
    <w:p>
      <w:pPr>
        <w:pStyle w:val="BodyText"/>
      </w:pPr>
      <w:r>
        <w:t xml:space="preserve">FedRAMP 20x KSI-CED-RAT (</w:t>
      </w:r>
      <w:r>
        <w:t xml:space="preserve">“</w:t>
      </w:r>
      <w:r>
        <w:t xml:space="preserve">Reviewing All Training</w:t>
      </w:r>
      <w:r>
        <w:t xml:space="preserve">”</w:t>
      </w:r>
      <w:r>
        <w:t xml:space="preserve">) evaluates whether the</w:t>
      </w:r>
      <w:r>
        <w:t xml:space="preserve"> </w:t>
      </w:r>
      <w:r>
        <w:t xml:space="preserve">organization</w:t>
      </w:r>
      <w:r>
        <w:t xml:space="preserve"> </w:t>
      </w:r>
      <w:r>
        <w:rPr>
          <w:bCs/>
          <w:b/>
        </w:rPr>
        <w:t xml:space="preserve">persistently reviews</w:t>
      </w:r>
      <w:r>
        <w:t xml:space="preserve"> </w:t>
      </w:r>
      <w:r>
        <w:t xml:space="preserve">training effectiveness across four</w:t>
      </w:r>
      <w:r>
        <w:t xml:space="preserve"> </w:t>
      </w:r>
      <w:r>
        <w:t xml:space="preserve">dimensions. The word</w:t>
      </w:r>
      <w:r>
        <w:t xml:space="preserve"> </w:t>
      </w:r>
      <w:r>
        <w:t xml:space="preserve">“</w:t>
      </w:r>
      <w:r>
        <w:t xml:space="preserve">persistently</w:t>
      </w:r>
      <w:r>
        <w:t xml:space="preserve">”</w:t>
      </w:r>
      <w:r>
        <w:t xml:space="preserve"> </w:t>
      </w:r>
      <w:r>
        <w:t xml:space="preserve">is deliberate — a one-time training</w:t>
      </w:r>
      <w:r>
        <w:t xml:space="preserve"> </w:t>
      </w:r>
      <w:r>
        <w:t xml:space="preserve">event satisfies nothing. The KSI evaluates whether the organization</w:t>
      </w:r>
      <w:r>
        <w:t xml:space="preserve"> </w:t>
      </w:r>
      <w:r>
        <w:t xml:space="preserve">maintains a continuous, structured review of training coverage, and whether</w:t>
      </w:r>
      <w:r>
        <w:t xml:space="preserve"> </w:t>
      </w:r>
      <w:r>
        <w:t xml:space="preserve">that review is backed by evidence in machine-readable form.</w:t>
      </w:r>
    </w:p>
    <w:p>
      <w:pPr>
        <w:pStyle w:val="BodyText"/>
      </w:pPr>
      <w:r>
        <w:t xml:space="preserve">The four dimensions KSI-CED-RAT evaluates:</w:t>
      </w:r>
    </w:p>
    <w:p>
      <w:pPr>
        <w:pStyle w:val="TableCaption"/>
      </w:pPr>
      <w:r>
        <w:t xml:space="preserve">KSI-CED-RAT — Four Required Training Dimensions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KSI-CED-RAT — Four Required Training Dimensions {.striped .hover}"/>
      </w:tblPr>
      <w:tblGrid>
        <w:gridCol w:w="1742"/>
        <w:gridCol w:w="1584"/>
        <w:gridCol w:w="2217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 completion record — all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 completion record — by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 /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AT-3(3), SA-16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certification or course transcript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IR/DR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and recovery 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IR-2, CP-3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 attendance record + after-action report</w:t>
            </w:r>
          </w:p>
        </w:tc>
      </w:tr>
    </w:tbl>
    <w:bookmarkEnd w:id="21"/>
    <w:bookmarkStart w:id="22" w:name="the-relationship-to-parts-11-and-13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The Relationship to Parts 11 and 13</w:t>
      </w:r>
    </w:p>
    <w:p>
      <w:pPr>
        <w:pStyle w:val="FirstParagraph"/>
      </w:pPr>
      <w:r>
        <w:t xml:space="preserve">Part 11 (Business Continuity) established the CP-2 Contingency Plan and</w:t>
      </w:r>
      <w:r>
        <w:t xml:space="preserve"> </w:t>
      </w:r>
      <w:r>
        <w:t xml:space="preserve">defined RTO/RPO/MTD targets. Part 13 (Program Management) established the</w:t>
      </w:r>
      <w:r>
        <w:t xml:space="preserve"> </w:t>
      </w:r>
      <w:r>
        <w:t xml:space="preserve">PM-14 Testing, Training, and Monitoring Plan that schedules tabletop</w:t>
      </w:r>
      <w:r>
        <w:t xml:space="preserve"> </w:t>
      </w:r>
      <w:r>
        <w:t xml:space="preserve">exercises on an annual cadence. This document provides the training content,</w:t>
      </w:r>
      <w:r>
        <w:t xml:space="preserve"> </w:t>
      </w:r>
      <w:r>
        <w:t xml:space="preserve">role matrices, and evidence record schema that those frameworks reference.</w:t>
      </w:r>
    </w:p>
    <w:p>
      <w:pPr>
        <w:pStyle w:val="BodyText"/>
      </w:pPr>
      <w:r>
        <w:t xml:space="preserve">The PM-14 T&amp;T&amp;M Plan names training as a required activity. Part 15</w:t>
      </w:r>
      <w:r>
        <w:t xml:space="preserve"> </w:t>
      </w:r>
      <w:r>
        <w:t xml:space="preserve">defines what that training contains, who must complete it, and how</w:t>
      </w:r>
      <w:r>
        <w:t xml:space="preserve"> </w:t>
      </w:r>
      <w:r>
        <w:t xml:space="preserve">completion is recorded in a form that the UIAO governance substrate can</w:t>
      </w:r>
      <w:r>
        <w:t xml:space="preserve"> </w:t>
      </w:r>
      <w:r>
        <w:t xml:space="preserve">ingest as a machine-readable KSI evidence signal.</w:t>
      </w:r>
    </w:p>
    <w:bookmarkEnd w:id="22"/>
    <w:bookmarkStart w:id="23" w:name="controls-closed-by-this-documen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Controls Closed by This Document</w:t>
      </w:r>
    </w:p>
    <w:p>
      <w:pPr>
        <w:pStyle w:val="TableCaption"/>
      </w:pPr>
      <w:r>
        <w:t xml:space="preserve">AT Family Control Closure — Book 15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 Family Control Closure — Book 15 {.striped .hover}"/>
      </w:tblPr>
      <w:tblGrid>
        <w:gridCol w:w="2036"/>
        <w:gridCol w:w="1584"/>
        <w:gridCol w:w="4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Literacy Training and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all-employee security awareness via Microsoft Viva Learning or equivalent; LMS completion record as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Exercises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 simulation exercises integrated into awareness program; simulation result record as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AT-2(2)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Insider Threat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Insider threat module within annual awareness program; included in LMS completion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training matrix with six categories; role-specific LMS tracks with separate completion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AT-3(3)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Exercises for High-Risk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labs and scenario exercises for sysadmins, developers, and IR personnel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AT-3(5)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awareness module for data stewards, connecting to Part 14 PT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 export in JSON/CSV format; monthly snapshot to UIAO governance substrate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tabletop exercise with attendance record; after-action report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 IR drill; scenario library maintained by SOC; connects to Part 10 Sentinel playbooks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training-program-architectur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Training Program Architecture</w:t>
      </w:r>
    </w:p>
    <w:bookmarkStart w:id="28" w:name="the-four-dimension-model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The Four-Dimension Model</w:t>
      </w:r>
    </w:p>
    <w:p>
      <w:pPr>
        <w:pStyle w:val="FirstParagraph"/>
      </w:pPr>
      <w:r>
        <w:t xml:space="preserve">The training program is organized around the four dimensions KSI-CED-RAT</w:t>
      </w:r>
      <w:r>
        <w:t xml:space="preserve"> </w:t>
      </w:r>
      <w:r>
        <w:t xml:space="preserve">requires the organization to persistently review. Each dimension has a</w:t>
      </w:r>
      <w:r>
        <w:t xml:space="preserve"> </w:t>
      </w:r>
      <w:r>
        <w:t xml:space="preserve">distinct audience, delivery mechanism, frequency, and evidence type.</w:t>
      </w:r>
    </w:p>
    <w:p>
      <w:pPr>
        <w:pStyle w:val="CaptionedFigure"/>
      </w:pPr>
      <w:r>
        <w:drawing>
          <wp:inline>
            <wp:extent cx="7772400" cy="3138853"/>
            <wp:effectExtent b="0" l="0" r="0" t="0"/>
            <wp:docPr descr="Federal AAN Cybersecurity Training Program — KSI-CED-RAT Four-Dimension Model" title="" id="26" name="Picture"/>
            <a:graphic>
              <a:graphicData uri="http://schemas.openxmlformats.org/drawingml/2006/picture">
                <pic:pic>
                  <pic:nvPicPr>
                    <pic:cNvPr descr="figs/ced-fig-01-training-dimension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3138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Federal AAN Cybersecurity Training Program — KSI-CED-RAT Four-Dimension Model</w:t>
      </w:r>
    </w:p>
    <w:bookmarkEnd w:id="28"/>
    <w:bookmarkStart w:id="29" w:name="program-governanc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Program Governance</w:t>
      </w:r>
    </w:p>
    <w:p>
      <w:pPr>
        <w:pStyle w:val="FirstParagraph"/>
      </w:pPr>
      <w:r>
        <w:t xml:space="preserve">The training program is governed by the following roles, which connect</w:t>
      </w:r>
      <w:r>
        <w:t xml:space="preserve"> </w:t>
      </w:r>
      <w:r>
        <w:t xml:space="preserve">directly to the RACI established in Part 13:</w:t>
      </w:r>
    </w:p>
    <w:p>
      <w:pPr>
        <w:pStyle w:val="TableCaption"/>
      </w:pPr>
      <w:r>
        <w:t xml:space="preserve">Training Program RACI — Key Roles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raining Program RACI — Key Roles {.striped .hover}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owner; approves training content annually; signs off on AT-4 record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point for role-based training gaps; receives quarterly completion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 / Training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LMS enrollment, completion tracking, and export to UIAO substrate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IR drill calendar; authors scenario library; produces after-action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 / Program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contractor workforce completes applicable training tracks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 (all levels)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 for direct report completion within their organization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Xcefb118f81abab16ec75021820981ffc595a0dc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Dimension 1 — General Security Awareness Training (AT-2)</w:t>
      </w:r>
    </w:p>
    <w:bookmarkStart w:id="31" w:name="program-desig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Program Design</w:t>
      </w:r>
    </w:p>
    <w:p>
      <w:pPr>
        <w:pStyle w:val="FirstParagraph"/>
      </w:pPr>
      <w:r>
        <w:t xml:space="preserve">AT-2 requires security awareness training for all users of organizational</w:t>
      </w:r>
      <w:r>
        <w:t xml:space="preserve"> </w:t>
      </w:r>
      <w:r>
        <w:t xml:space="preserve">systems, including contractors and privileged users, before they are granted</w:t>
      </w:r>
      <w:r>
        <w:t xml:space="preserve"> </w:t>
      </w:r>
      <w:r>
        <w:t xml:space="preserve">access and on a recurring basis thereafter. For FedRAMP 20x, the recurring</w:t>
      </w:r>
      <w:r>
        <w:t xml:space="preserve"> </w:t>
      </w:r>
      <w:r>
        <w:t xml:space="preserve">basis must produce a persistent completion record — annual is the standard</w:t>
      </w:r>
      <w:r>
        <w:t xml:space="preserve"> </w:t>
      </w:r>
      <w:r>
        <w:t xml:space="preserve">minimum; quarterly refreshers are best practice for GCC Moderate systems.</w:t>
      </w:r>
    </w:p>
    <w:p>
      <w:pPr>
        <w:pStyle w:val="BodyText"/>
      </w:pPr>
      <w:r>
        <w:t xml:space="preserve">The general awareness program covers:</w:t>
      </w:r>
    </w:p>
    <w:p>
      <w:pPr>
        <w:pStyle w:val="TableCaption"/>
      </w:pPr>
      <w:r>
        <w:t xml:space="preserve">AT-2 General Awareness — Required Modules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-2 General Awareness — Required Modules {.striped .hover}"/>
      </w:tblPr>
      <w:tblGrid>
        <w:gridCol w:w="1760"/>
        <w:gridCol w:w="1980"/>
        <w:gridCol w:w="41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 Trust 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implicit trust is gone; verify explicitly, least privilege, assume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 14028, OMB M-22-09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Phishing and Social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Recognition, reporting, GCC-tenant spoofing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CISA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 and MFA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MFA, FIDO2 keys, authenticator apps; why SMS is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IA-5, CISA MFA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Insider Threat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 indicators, reporting obligations, DISA Insider Threat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AT-2(2), EO 13587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Classification and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 markings, GCC-only sharing, Purview sensitivity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9, CUI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report a suspected incident; SOC contact; IR playbook entry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IR-6, Part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Acceptable Use and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use notice acknowledgment; FISMA obligations; personal device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PL-4, AC-8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Remote Work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VPN, ZTNA, home network risks, shoulder surfing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AC-17, Part 2</w:t>
            </w:r>
          </w:p>
        </w:tc>
      </w:tr>
    </w:tbl>
    <w:bookmarkEnd w:id="31"/>
    <w:bookmarkStart w:id="32" w:name="delivery-options-for-gcc-moderat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Delivery Options for GCC Moderate</w:t>
      </w:r>
    </w:p>
    <w:p>
      <w:pPr>
        <w:pStyle w:val="FirstParagraph"/>
      </w:pPr>
      <w:r>
        <w:t xml:space="preserve">Federal agencies operating in GCC Moderate have several compliant delivery</w:t>
      </w:r>
      <w:r>
        <w:t xml:space="preserve"> </w:t>
      </w:r>
      <w:r>
        <w:t xml:space="preserve">options for general awareness training:</w:t>
      </w:r>
    </w:p>
    <w:p>
      <w:pPr>
        <w:pStyle w:val="TableCaption"/>
      </w:pPr>
      <w:r>
        <w:t xml:space="preserve">AT-2 Delivery Platform Options — GCC Moderate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-2 Delivery Platform Options — GCC Moderate {.striped .hover}"/>
      </w:tblPr>
      <w:tblGrid>
        <w:gridCol w:w="1584"/>
        <w:gridCol w:w="2692"/>
        <w:gridCol w:w="950"/>
        <w:gridCol w:w="26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Viva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GCC / GCC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 E3/E5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via Graph API; exports to UIAO substrate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DoD Cyber Awareness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Free; DoD-approved; GCC 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ATCTS completion certificate (PDF/CSV export)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CISA Cybersecurity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free.cisa.gov; public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transcript; requires AT-4 manual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KnowBe4 / Proofpoint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Commercial; GCC-compatible deployments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or CSV export; FedRAMP 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SANS Security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Commercial; FedRAMP-authorized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export; direct UIAO substrate integration possible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Recommended:</w:t>
      </w:r>
      <w:r>
        <w:t xml:space="preserve"> </w:t>
      </w:r>
      <w:r>
        <w:t xml:space="preserve">Microsoft Viva Learning for organizations already on M365</w:t>
      </w:r>
      <w:r>
        <w:t xml:space="preserve"> </w:t>
      </w:r>
      <w:r>
        <w:t xml:space="preserve">E3/E5 GCC. The Microsoft Graph API provides a structured JSON export of</w:t>
      </w:r>
      <w:r>
        <w:t xml:space="preserve"> </w:t>
      </w:r>
      <w:r>
        <w:t xml:space="preserve">completion records that maps directly to the AT-4 evidence schema and can</w:t>
      </w:r>
      <w:r>
        <w:t xml:space="preserve"> </w:t>
      </w:r>
      <w:r>
        <w:t xml:space="preserve">be automated into the UIAO governance substrate on a monthly pull cadence.</w:t>
      </w:r>
    </w:p>
    <w:bookmarkEnd w:id="32"/>
    <w:bookmarkStart w:id="33" w:name="phishing-simulation-at-21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Phishing Simulation (AT-2(1))</w:t>
      </w:r>
    </w:p>
    <w:p>
      <w:pPr>
        <w:pStyle w:val="FirstParagraph"/>
      </w:pPr>
      <w:r>
        <w:t xml:space="preserve">Practical exercises are required under AT-2(1). Phishing simulation is the</w:t>
      </w:r>
      <w:r>
        <w:t xml:space="preserve"> </w:t>
      </w:r>
      <w:r>
        <w:t xml:space="preserve">standard federal mechanism. The simulation program must:</w:t>
      </w:r>
    </w:p>
    <w:p>
      <w:pPr>
        <w:numPr>
          <w:ilvl w:val="0"/>
          <w:numId w:val="1002"/>
        </w:numPr>
        <w:pStyle w:val="Compact"/>
      </w:pPr>
      <w:r>
        <w:t xml:space="preserve">Run at minimum</w:t>
      </w:r>
      <w:r>
        <w:t xml:space="preserve"> </w:t>
      </w:r>
      <w:r>
        <w:rPr>
          <w:bCs/>
          <w:b/>
        </w:rPr>
        <w:t xml:space="preserve">quarterly</w:t>
      </w:r>
      <w:r>
        <w:t xml:space="preserve"> </w:t>
      </w:r>
      <w:r>
        <w:t xml:space="preserve">campaigns across the full user population</w:t>
      </w:r>
    </w:p>
    <w:p>
      <w:pPr>
        <w:numPr>
          <w:ilvl w:val="0"/>
          <w:numId w:val="1002"/>
        </w:numPr>
        <w:pStyle w:val="Compact"/>
      </w:pPr>
      <w:r>
        <w:t xml:space="preserve">Track click rate, report rate, and training completion for those who</w:t>
      </w:r>
      <w:r>
        <w:t xml:space="preserve"> </w:t>
      </w:r>
      <w:r>
        <w:t xml:space="preserve">click (remedial training trigger)</w:t>
      </w:r>
    </w:p>
    <w:p>
      <w:pPr>
        <w:numPr>
          <w:ilvl w:val="0"/>
          <w:numId w:val="1002"/>
        </w:numPr>
        <w:pStyle w:val="Compact"/>
      </w:pPr>
      <w:r>
        <w:t xml:space="preserve">Export results in a structured format tied to user identity (not just</w:t>
      </w:r>
      <w:r>
        <w:t xml:space="preserve"> </w:t>
      </w:r>
      <w:r>
        <w:t xml:space="preserve">aggregate statistics) for AT-4 purposes</w:t>
      </w:r>
    </w:p>
    <w:p>
      <w:pPr>
        <w:numPr>
          <w:ilvl w:val="0"/>
          <w:numId w:val="1002"/>
        </w:numPr>
        <w:pStyle w:val="Compact"/>
      </w:pPr>
      <w:r>
        <w:t xml:space="preserve">Scenarios must include GCC-tenant spoof patterns — attackers impersonating</w:t>
      </w:r>
      <w:r>
        <w:t xml:space="preserve"> </w:t>
      </w:r>
      <w:r>
        <w:rPr>
          <w:rStyle w:val="VerbatimChar"/>
        </w:rPr>
        <w:t xml:space="preserve">.mil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.gov</w:t>
      </w:r>
      <w:r>
        <w:t xml:space="preserve"> </w:t>
      </w:r>
      <w:r>
        <w:t xml:space="preserve">domains, or spoofing legitimate Microsoft 365 service</w:t>
      </w:r>
      <w:r>
        <w:t xml:space="preserve"> </w:t>
      </w:r>
      <w:r>
        <w:t xml:space="preserve">notifications</w:t>
      </w:r>
    </w:p>
    <w:p>
      <w:pPr>
        <w:pStyle w:val="FirstParagraph"/>
      </w:pPr>
      <w:r>
        <w:rPr>
          <w:bCs/>
          <w:b/>
        </w:rPr>
        <w:t xml:space="preserve">GCC Moderate options:</w:t>
      </w:r>
      <w:r>
        <w:t xml:space="preserve"> </w:t>
      </w:r>
      <w:r>
        <w:t xml:space="preserve">Microsoft Attack Simulator (Defender for Office</w:t>
      </w:r>
      <w:r>
        <w:t xml:space="preserve"> </w:t>
      </w:r>
      <w:r>
        <w:t xml:space="preserve">365 Plan 2, included in M365 E5 GCC) or KnowBe4 GCC-compatible deployment.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dimension-2-role-based-training-at-3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Dimension 2 — Role-Based Training (AT-3)</w:t>
      </w:r>
    </w:p>
    <w:bookmarkStart w:id="35" w:name="role-classification-and-training-matrix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Role Classification and Training Matrix</w:t>
      </w:r>
    </w:p>
    <w:p>
      <w:pPr>
        <w:pStyle w:val="FirstParagraph"/>
      </w:pPr>
      <w:r>
        <w:t xml:space="preserve">AT-3 requires specialized training for personnel with assigned security</w:t>
      </w:r>
      <w:r>
        <w:t xml:space="preserve"> </w:t>
      </w:r>
      <w:r>
        <w:t xml:space="preserve">responsibilities. For FedRAMP 20x, this means any role that has elevated</w:t>
      </w:r>
      <w:r>
        <w:t xml:space="preserve"> </w:t>
      </w:r>
      <w:r>
        <w:t xml:space="preserve">access, system administration duties, or security-relevant functions. The</w:t>
      </w:r>
      <w:r>
        <w:t xml:space="preserve"> </w:t>
      </w:r>
      <w:r>
        <w:t xml:space="preserve">following six role tiers cover the GCC Moderate environment:</w:t>
      </w:r>
    </w:p>
    <w:p>
      <w:pPr>
        <w:pStyle w:val="TableCaption"/>
      </w:pPr>
      <w:r>
        <w:t xml:space="preserve">AT-3 Role-Based Training Matrix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-3 Role-Based Training Matrix {.striped .hover}"/>
      </w:tblPr>
      <w:tblGrid>
        <w:gridCol w:w="1361"/>
        <w:gridCol w:w="1237"/>
        <w:gridCol w:w="2598"/>
        <w:gridCol w:w="1361"/>
        <w:gridCol w:w="13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 — System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admins, network engineers, InfoBlox admins, Entra Global 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Security fundamentals, Entra ID hardening, InfoBlox DDI security, Sentinel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+ on new tool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24–40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 — Privileged Access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PAW users, JIT-eligible roles, CyberArk vault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PAW architecture, Entra PIM workflow, session recording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8–16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 — Developers /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developers, DevSecOps engineers, pipeline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coding (OWASP Top 10), SBOM generation, dependency scanning, GitHub Actions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+ quarterly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24–40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4 — Incident Responders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analysts, IR team members, Sentinel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KQL query writing, Sentinel playbook operation, IR procedure walkthroughs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16–24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5 — Data Stewards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managers, HR system owners, PII 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 handling, Purview DLP policies, sensitivity label application, SORN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6 — Executives / Program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AO, PM, ISSM, COR, Contracting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posture briefing, FedRAMP 20x obligation overview, POA&amp;M review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 hrs</w:t>
            </w:r>
          </w:p>
        </w:tc>
      </w:tr>
    </w:tbl>
    <w:bookmarkEnd w:id="35"/>
    <w:bookmarkStart w:id="36" w:name="Xfd0b000aec447b86bfc3b1b5410e379cf51221b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Tier 1 — System Administrator Training Curriculum</w:t>
      </w:r>
    </w:p>
    <w:p>
      <w:pPr>
        <w:pStyle w:val="FirstParagraph"/>
      </w:pPr>
      <w:r>
        <w:t xml:space="preserve">System administrators represent the highest-risk role category in a FedRAMP</w:t>
      </w:r>
      <w:r>
        <w:t xml:space="preserve"> </w:t>
      </w:r>
      <w:r>
        <w:t xml:space="preserve">Moderate environment. Their training curriculum must cover the specific</w:t>
      </w:r>
      <w:r>
        <w:t xml:space="preserve"> </w:t>
      </w:r>
      <w:r>
        <w:t xml:space="preserve">technologies deployed in this series:</w:t>
      </w:r>
    </w:p>
    <w:p>
      <w:pPr>
        <w:pStyle w:val="TableCaption"/>
      </w:pPr>
      <w:r>
        <w:t xml:space="preserve">Tier 1 Sysadmin Training — AAN-Aligned Curriculum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ier 1 Sysadmin Training — AAN-Aligned Curriculum {.striped .hover}"/>
      </w:tblPr>
      <w:tblGrid>
        <w:gridCol w:w="2941"/>
        <w:gridCol w:w="2036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Course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 DDI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DNSSEC key management, RPZ rule maintenance, IPAM audit log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SD-WAN / SASE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IPsec key rotation, SASE policy updates, DIA circuit failover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 ID and Conditional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Access policy design, MFA enforcement exceptions, break-glass account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Arc and SQL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Identity token lifecycle, Arc extension updates, SQL login audit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4–5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Sentinel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 health monitoring, analytics rule tuning, UEBA threshold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Privileged Access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PIM role activation, PAW maintenance, JIT request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MDVM dashboard interpretation, KEV remediation SLA tracking, WUfB ring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and DR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Site Recovery test procedures, SQL AG failover validation, RTO/RPO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</w:t>
            </w:r>
          </w:p>
        </w:tc>
      </w:tr>
    </w:tbl>
    <w:bookmarkEnd w:id="36"/>
    <w:bookmarkStart w:id="37" w:name="X8db4f3e18e66810e71ae122126bfbcfdbcd9583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Tier 3 — Developer / Engineer Secure Delivery Training (AT-3(3), SA-16)</w:t>
      </w:r>
    </w:p>
    <w:p>
      <w:pPr>
        <w:pStyle w:val="FirstParagraph"/>
      </w:pPr>
      <w:r>
        <w:t xml:space="preserve">Developer training under AT-3 and SA-16 covers the secure delivery</w:t>
      </w:r>
      <w:r>
        <w:t xml:space="preserve"> </w:t>
      </w:r>
      <w:r>
        <w:t xml:space="preserve">practices established by the SBOM/VDR pipeline in Part 12:</w:t>
      </w:r>
    </w:p>
    <w:p>
      <w:pPr>
        <w:pStyle w:val="TableCaption"/>
      </w:pPr>
      <w:r>
        <w:t xml:space="preserve">Tier 3 Developer Secure Delivery Curriculum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ier 3 Developer Secure Delivery Curriculum {.striped .hover}"/>
      </w:tblPr>
      <w:tblGrid>
        <w:gridCol w:w="1584"/>
        <w:gridCol w:w="2036"/>
        <w:gridCol w:w="4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Pinning dependencies, evaluating transitive dependencies, understanding VDR/VEX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generation fluency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SBOM Generation (Syft)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Syft against container images and repositories, CycloneDX format, attestation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 pipeline competency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Vulnerability Triage (Grype)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Interpreting Grype output, VEX exploitability assertions, BOD 26-04 D1–D5 SLA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 pipeline competency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Actions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management, workflow permissions, OIDC token scoping, supply chain attack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 pipeline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OWASP Top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Injection, broken access control, cryptographic failures, XSS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SA-11, SA-15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Secure 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look for in pull request review, dependency diff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SA-11(1)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 Reporting from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report a suspected supply chain event; who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IR-6, Part 10</w:t>
            </w:r>
          </w:p>
        </w:tc>
      </w:tr>
    </w:tbl>
    <w:bookmarkEnd w:id="37"/>
    <w:bookmarkStart w:id="38" w:name="tier-5-data-steward-training-at-35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Tier 5 — Data Steward Training (AT-3(5))</w:t>
      </w:r>
    </w:p>
    <w:p>
      <w:pPr>
        <w:pStyle w:val="FirstParagraph"/>
      </w:pPr>
      <w:r>
        <w:t xml:space="preserve">AT-3(5) requires training for personnel who process personally identifiable</w:t>
      </w:r>
      <w:r>
        <w:t xml:space="preserve"> </w:t>
      </w:r>
      <w:r>
        <w:t xml:space="preserve">information. This connects to Part 14 (PII Processing and Transparency):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Purview sensitivity label application</w:t>
      </w:r>
      <w:r>
        <w:t xml:space="preserve"> </w:t>
      </w:r>
      <w:r>
        <w:t xml:space="preserve">— when to apply which label,</w:t>
      </w:r>
      <w:r>
        <w:t xml:space="preserve"> </w:t>
      </w:r>
      <w:r>
        <w:t xml:space="preserve">how auto-labeling works, and what happens when a document is shared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DLP policy understanding</w:t>
      </w:r>
      <w:r>
        <w:t xml:space="preserve"> </w:t>
      </w:r>
      <w:r>
        <w:t xml:space="preserve">— what the DLP policies in Part 9 block</w:t>
      </w:r>
      <w:r>
        <w:t xml:space="preserve"> </w:t>
      </w:r>
      <w:r>
        <w:t xml:space="preserve">and why, so data stewards don’t attempt workarounds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SORN and PIA obligations</w:t>
      </w:r>
      <w:r>
        <w:t xml:space="preserve"> </w:t>
      </w:r>
      <w:r>
        <w:t xml:space="preserve">— what triggers a Privacy Impact Assessment,</w:t>
      </w:r>
      <w:r>
        <w:t xml:space="preserve"> </w:t>
      </w:r>
      <w:r>
        <w:t xml:space="preserve">how to initiate one, and the role of the System of Records Notice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Breach notification procedure</w:t>
      </w:r>
      <w:r>
        <w:t xml:space="preserve"> </w:t>
      </w:r>
      <w:r>
        <w:t xml:space="preserve">— what constitutes a PII breach, the</w:t>
      </w:r>
      <w:r>
        <w:t xml:space="preserve"> </w:t>
      </w:r>
      <w:r>
        <w:t xml:space="preserve">72-hour reporting window, and the SOC notification path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imension-3-secure-delivery-training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Dimension 3 — Secure Delivery Training</w:t>
      </w:r>
    </w:p>
    <w:bookmarkStart w:id="40" w:name="X1c51bfe054b14667a58a313c7807b0592ee1b17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Developer Security in the FedRAMP 20x Context</w:t>
      </w:r>
    </w:p>
    <w:p>
      <w:pPr>
        <w:pStyle w:val="FirstParagraph"/>
      </w:pPr>
      <w:r>
        <w:t xml:space="preserve">FedRAMP 20x KSI-PIY-RSD (</w:t>
      </w:r>
      <w:r>
        <w:t xml:space="preserve">“</w:t>
      </w:r>
      <w:r>
        <w:t xml:space="preserve">Reviewing Security in the SDLC</w:t>
      </w:r>
      <w:r>
        <w:t xml:space="preserve">”</w:t>
      </w:r>
      <w:r>
        <w:t xml:space="preserve">) — activated</w:t>
      </w:r>
      <w:r>
        <w:t xml:space="preserve"> </w:t>
      </w:r>
      <w:r>
        <w:t xml:space="preserve">by Part 12’s SBOM pipeline and Part 8’s Defender VM integration — requires</w:t>
      </w:r>
      <w:r>
        <w:t xml:space="preserve"> </w:t>
      </w:r>
      <w:r>
        <w:t xml:space="preserve">that security is reviewed throughout the software delivery process. Training</w:t>
      </w:r>
      <w:r>
        <w:t xml:space="preserve"> </w:t>
      </w:r>
      <w:r>
        <w:t xml:space="preserve">is the human layer of that review: developers who understand what Syft</w:t>
      </w:r>
      <w:r>
        <w:t xml:space="preserve"> </w:t>
      </w:r>
      <w:r>
        <w:t xml:space="preserve">produces, what Grype flags, and what a VEX assertion means will engage with</w:t>
      </w:r>
      <w:r>
        <w:t xml:space="preserve"> </w:t>
      </w:r>
      <w:r>
        <w:t xml:space="preserve">the automated pipeline as partners rather than treating it as a compliance</w:t>
      </w:r>
      <w:r>
        <w:t xml:space="preserve"> </w:t>
      </w:r>
      <w:r>
        <w:t xml:space="preserve">hurdle.</w:t>
      </w:r>
    </w:p>
    <w:p>
      <w:pPr>
        <w:pStyle w:val="BodyText"/>
      </w:pPr>
      <w:r>
        <w:t xml:space="preserve">The secure delivery training program connects KSI-PIY-RSD evidence</w:t>
      </w:r>
      <w:r>
        <w:t xml:space="preserve"> </w:t>
      </w:r>
      <w:r>
        <w:t xml:space="preserve">(Part 12) with the human competency layer (this document). Together they</w:t>
      </w:r>
      <w:r>
        <w:t xml:space="preserve"> </w:t>
      </w:r>
      <w:r>
        <w:t xml:space="preserve">satisfy the full CR26 intent: automated scanning provides the</w:t>
      </w:r>
      <w:r>
        <w:t xml:space="preserve"> </w:t>
      </w:r>
      <w:r>
        <w:t xml:space="preserve">machine-readable signal; trained developers make the triage decisions that</w:t>
      </w:r>
      <w:r>
        <w:t xml:space="preserve"> </w:t>
      </w:r>
      <w:r>
        <w:t xml:space="preserve">determine whether findings are remediated or suppressed with a justified</w:t>
      </w:r>
      <w:r>
        <w:t xml:space="preserve"> </w:t>
      </w:r>
      <w:r>
        <w:t xml:space="preserve">exploitability assertion.</w:t>
      </w:r>
    </w:p>
    <w:bookmarkEnd w:id="40"/>
    <w:bookmarkStart w:id="41" w:name="training-delivery-for-developer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Training Delivery for Developers</w:t>
      </w:r>
    </w:p>
    <w:p>
      <w:pPr>
        <w:pStyle w:val="FirstParagraph"/>
      </w:pPr>
      <w:r>
        <w:t xml:space="preserve">Developer training must be practical, not lecture-based. Effective formats:</w:t>
      </w:r>
    </w:p>
    <w:p>
      <w:pPr>
        <w:pStyle w:val="TableCaption"/>
      </w:pPr>
      <w:r>
        <w:t xml:space="preserve">Secure Delivery Training Formats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Secure Delivery Training Formats {.striped .hover}"/>
      </w:tblPr>
      <w:tblGrid>
        <w:gridCol w:w="1760"/>
        <w:gridCol w:w="1980"/>
        <w:gridCol w:w="41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Hands-on SBOM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CycloneDX SBOM from a real repository; inspect the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Grype triage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Grype scan result, classify findings and write VEX 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Secure code review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review of a deliberately vulnerable PR; identify and remediate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Supply chain scenario tabletop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we do if a critical dependency is compromised?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with IR tabletop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CTF / security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Team-based challenge covering OWASP Top 10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(optional but high-value)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9" w:name="Xb499a88f9af76ab0e96ffbb4c6bf6f3548f3a95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Dimension 4 — Incident Response and DR Training (IR-2, CP-3)</w:t>
      </w:r>
    </w:p>
    <w:bookmarkStart w:id="45" w:name="incident-response-training-ir-2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Incident Response Training (IR-2)</w:t>
      </w:r>
    </w:p>
    <w:p>
      <w:pPr>
        <w:pStyle w:val="FirstParagraph"/>
      </w:pPr>
      <w:r>
        <w:t xml:space="preserve">IR-2 requires that personnel with incident response responsibilities</w:t>
      </w:r>
      <w:r>
        <w:t xml:space="preserve"> </w:t>
      </w:r>
      <w:r>
        <w:t xml:space="preserve">receive training on their specific roles in the IR plan. This training</w:t>
      </w:r>
      <w:r>
        <w:t xml:space="preserve"> </w:t>
      </w:r>
      <w:r>
        <w:t xml:space="preserve">connects directly to Part 10 (SIEM/XDR Detection Engineering) — the</w:t>
      </w:r>
      <w:r>
        <w:t xml:space="preserve"> </w:t>
      </w:r>
      <w:r>
        <w:t xml:space="preserve">Sentinel playbooks defined there are the operational tools; this training</w:t>
      </w:r>
      <w:r>
        <w:t xml:space="preserve"> </w:t>
      </w:r>
      <w:r>
        <w:t xml:space="preserve">is what ensures personnel can operate them under pressure.</w:t>
      </w:r>
    </w:p>
    <w:bookmarkStart w:id="43" w:name="ir-training-cadence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IR Training Cadence</w:t>
      </w:r>
    </w:p>
    <w:p>
      <w:pPr>
        <w:pStyle w:val="TableCaption"/>
      </w:pPr>
      <w:r>
        <w:t xml:space="preserve">IR-2 Training Cadence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IR-2 Training Cadence {.striped .hover}"/>
      </w:tblPr>
      <w:tblGrid>
        <w:gridCol w:w="1205"/>
        <w:gridCol w:w="1893"/>
        <w:gridCol w:w="2238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 procedure 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SOC + IR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Sentinel playbook drill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analysts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Drill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Tabletop — ransomware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team +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After-action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Tabletop — supply chain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+ development +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After-action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simulation (red/blue)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+ sysadmins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report</w:t>
            </w:r>
          </w:p>
        </w:tc>
      </w:tr>
    </w:tbl>
    <w:bookmarkEnd w:id="43"/>
    <w:bookmarkStart w:id="44" w:name="ir-scenario-library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IR Scenario Library</w:t>
      </w:r>
    </w:p>
    <w:p>
      <w:pPr>
        <w:pStyle w:val="FirstParagraph"/>
      </w:pPr>
      <w:r>
        <w:t xml:space="preserve">The SOC maintains a scenario library that is updated after each real incident</w:t>
      </w:r>
      <w:r>
        <w:t xml:space="preserve"> </w:t>
      </w:r>
      <w:r>
        <w:t xml:space="preserve">and after each after-action review. Minimum scenarios for GCC Moderate: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Phishing → credential theft → lateral movement</w:t>
      </w:r>
      <w:r>
        <w:t xml:space="preserve"> </w:t>
      </w:r>
      <w:r>
        <w:t xml:space="preserve">— the most common</w:t>
      </w:r>
      <w:r>
        <w:t xml:space="preserve"> </w:t>
      </w:r>
      <w:r>
        <w:t xml:space="preserve">federal attack pattern; covers how Sentinel UEBA detects the anomaly and</w:t>
      </w:r>
      <w:r>
        <w:t xml:space="preserve"> </w:t>
      </w:r>
      <w:r>
        <w:t xml:space="preserve">which Logic App playbook fires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Supply chain dependency compromise</w:t>
      </w:r>
      <w:r>
        <w:t xml:space="preserve"> </w:t>
      </w:r>
      <w:r>
        <w:t xml:space="preserve">— a critical npm/NuGet/PyPI package</w:t>
      </w:r>
      <w:r>
        <w:t xml:space="preserve"> </w:t>
      </w:r>
      <w:r>
        <w:t xml:space="preserve">is found malicious after deployment; what is the response chain from Grype</w:t>
      </w:r>
      <w:r>
        <w:t xml:space="preserve"> </w:t>
      </w:r>
      <w:r>
        <w:t xml:space="preserve">alert to containment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Entra Conditional Access misconfiguration</w:t>
      </w:r>
      <w:r>
        <w:t xml:space="preserve"> </w:t>
      </w:r>
      <w:r>
        <w:t xml:space="preserve">— a policy change exposes</w:t>
      </w:r>
      <w:r>
        <w:t xml:space="preserve"> </w:t>
      </w:r>
      <w:r>
        <w:t xml:space="preserve">a gap; how is it detected in Sentinel and how is the access revoked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InfoBlox RPZ bypass attempt</w:t>
      </w:r>
      <w:r>
        <w:t xml:space="preserve"> </w:t>
      </w:r>
      <w:r>
        <w:t xml:space="preserve">— DNS exfiltration pattern not covered by</w:t>
      </w:r>
      <w:r>
        <w:t xml:space="preserve"> </w:t>
      </w:r>
      <w:r>
        <w:t xml:space="preserve">current RPZ rules; detection via Sentinel CEF connector and response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Ransomware encryption event</w:t>
      </w:r>
      <w:r>
        <w:t xml:space="preserve"> </w:t>
      </w:r>
      <w:r>
        <w:t xml:space="preserve">— endpoint detection via Defender MDE,</w:t>
      </w:r>
      <w:r>
        <w:t xml:space="preserve"> </w:t>
      </w:r>
      <w:r>
        <w:t xml:space="preserve">containment via Intune device action, recovery via Azure Site Recovery</w:t>
      </w:r>
      <w:r>
        <w:t xml:space="preserve"> </w:t>
      </w:r>
      <w:r>
        <w:t xml:space="preserve">failover to DR replica (Part 11 procedure)</w:t>
      </w:r>
    </w:p>
    <w:bookmarkEnd w:id="44"/>
    <w:bookmarkEnd w:id="45"/>
    <w:bookmarkStart w:id="48" w:name="contingency-training-cp-3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Contingency Training (CP-3)</w:t>
      </w:r>
    </w:p>
    <w:p>
      <w:pPr>
        <w:pStyle w:val="FirstParagraph"/>
      </w:pPr>
      <w:r>
        <w:t xml:space="preserve">CP-3 requires that contingency plan personnel are trained on their specific</w:t>
      </w:r>
      <w:r>
        <w:t xml:space="preserve"> </w:t>
      </w:r>
      <w:r>
        <w:t xml:space="preserve">roles and responsibilities. Part 11 established the Contingency Plan,</w:t>
      </w:r>
      <w:r>
        <w:t xml:space="preserve"> </w:t>
      </w:r>
      <w:r>
        <w:t xml:space="preserve">RTO/RPO/MTD targets, and DR runbooks. This training ensures the people</w:t>
      </w:r>
      <w:r>
        <w:t xml:space="preserve"> </w:t>
      </w:r>
      <w:r>
        <w:t xml:space="preserve">named in those runbooks can execute them.</w:t>
      </w:r>
    </w:p>
    <w:bookmarkStart w:id="46" w:name="cp-3-tabletop-exercise-calendar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CP-3 Tabletop Exercise Calendar</w:t>
      </w:r>
    </w:p>
    <w:p>
      <w:pPr>
        <w:pStyle w:val="FirstParagraph"/>
      </w:pPr>
      <w:r>
        <w:t xml:space="preserve">The annual tabletop exercise directly tests the CP-2 Contingency Plan</w:t>
      </w:r>
      <w:r>
        <w:t xml:space="preserve"> </w:t>
      </w:r>
      <w:r>
        <w:t xml:space="preserve">established in Part 11:</w:t>
      </w:r>
    </w:p>
    <w:p>
      <w:pPr>
        <w:pStyle w:val="TableCaption"/>
      </w:pPr>
      <w:r>
        <w:t xml:space="preserve">CP-3 Annual Tabletop Calendar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P-3 Annual Tabletop Calendar {.striped .hover}"/>
      </w:tblPr>
      <w:tblGrid>
        <w:gridCol w:w="1549"/>
        <w:gridCol w:w="2754"/>
        <w:gridCol w:w="2238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AG failover to DR 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DBAs, sysadmins,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time measurement vs. RTO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Grid Manager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engineers, DNS 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time vs. RTO; RPZ rule restoration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CP-2 tabletop — multi-system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DR-designated personnel +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After-action report; plan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+ Azure AD DS recovery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admins, sysadmins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reissuance time; break-glass procedure validation</w:t>
            </w:r>
          </w:p>
        </w:tc>
      </w:tr>
    </w:tbl>
    <w:bookmarkEnd w:id="46"/>
    <w:bookmarkStart w:id="47" w:name="after-action-report-requirements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After-Action Report Requirements</w:t>
      </w:r>
    </w:p>
    <w:p>
      <w:pPr>
        <w:pStyle w:val="FirstParagraph"/>
      </w:pPr>
      <w:r>
        <w:t xml:space="preserve">Every tabletop produces an after-action report that:</w:t>
      </w:r>
    </w:p>
    <w:p>
      <w:pPr>
        <w:numPr>
          <w:ilvl w:val="0"/>
          <w:numId w:val="1005"/>
        </w:numPr>
        <w:pStyle w:val="Compact"/>
      </w:pPr>
      <w:r>
        <w:t xml:space="preserve">Documents attendance (names, roles, date) — this is the CP-3 evidence record</w:t>
      </w:r>
    </w:p>
    <w:p>
      <w:pPr>
        <w:numPr>
          <w:ilvl w:val="0"/>
          <w:numId w:val="1005"/>
        </w:numPr>
        <w:pStyle w:val="Compact"/>
      </w:pPr>
      <w:r>
        <w:t xml:space="preserve">Records the scenario, injects, and timeline</w:t>
      </w:r>
    </w:p>
    <w:p>
      <w:pPr>
        <w:numPr>
          <w:ilvl w:val="0"/>
          <w:numId w:val="1005"/>
        </w:numPr>
        <w:pStyle w:val="Compact"/>
      </w:pPr>
      <w:r>
        <w:t xml:space="preserve">Identifies gaps found versus the CP-2 plan</w:t>
      </w:r>
    </w:p>
    <w:p>
      <w:pPr>
        <w:numPr>
          <w:ilvl w:val="0"/>
          <w:numId w:val="1005"/>
        </w:numPr>
        <w:pStyle w:val="Compact"/>
      </w:pPr>
      <w:r>
        <w:t xml:space="preserve">Assigns corrective actions with owners and due dates</w:t>
      </w:r>
    </w:p>
    <w:p>
      <w:pPr>
        <w:numPr>
          <w:ilvl w:val="0"/>
          <w:numId w:val="1005"/>
        </w:numPr>
        <w:pStyle w:val="Compact"/>
      </w:pPr>
      <w:r>
        <w:t xml:space="preserve">Is reviewed by the ISSO and archived in the governance record system</w:t>
      </w:r>
    </w:p>
    <w:p>
      <w:pPr>
        <w:pStyle w:val="FirstParagraph"/>
      </w:pPr>
      <w:r>
        <w:t xml:space="preserve">The after-action report feeds two things: the PM-14 T&amp;T&amp;M tracker</w:t>
      </w:r>
      <w:r>
        <w:t xml:space="preserve"> </w:t>
      </w:r>
      <w:r>
        <w:t xml:space="preserve">(Part 13) and the CP-3 evidence record that the UIAO substrate ingests.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8" w:name="X5d2cfcf0b4e9a84389fb9586b6280caef5882bd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Training Records and LMS Integration (AT-4)</w:t>
      </w:r>
    </w:p>
    <w:bookmarkStart w:id="50" w:name="X695eb96f7b67776b17ba54fe81d0539a7b1317b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The Machine-Readable Evidence Requirement</w:t>
      </w:r>
    </w:p>
    <w:p>
      <w:pPr>
        <w:pStyle w:val="FirstParagraph"/>
      </w:pPr>
      <w:r>
        <w:t xml:space="preserve">AT-4 requires the organization to retain individual training records and</w:t>
      </w:r>
      <w:r>
        <w:t xml:space="preserve"> </w:t>
      </w:r>
      <w:r>
        <w:t xml:space="preserve">review them. For FedRAMP 20x KSI-CED-RAT,</w:t>
      </w:r>
      <w:r>
        <w:t xml:space="preserve"> </w:t>
      </w:r>
      <w:r>
        <w:t xml:space="preserve">“</w:t>
      </w:r>
      <w:r>
        <w:t xml:space="preserve">review</w:t>
      </w:r>
      <w:r>
        <w:t xml:space="preserve">”</w:t>
      </w:r>
      <w:r>
        <w:t xml:space="preserve"> </w:t>
      </w:r>
      <w:r>
        <w:t xml:space="preserve">must be persistent and</w:t>
      </w:r>
      <w:r>
        <w:t xml:space="preserve"> </w:t>
      </w:r>
      <w:r>
        <w:t xml:space="preserve">machine-readable — the UIAO governance substrate needs to query whether all</w:t>
      </w:r>
      <w:r>
        <w:t xml:space="preserve"> </w:t>
      </w:r>
      <w:r>
        <w:t xml:space="preserve">four training dimensions have been reviewed, for which populations, and</w:t>
      </w:r>
      <w:r>
        <w:t xml:space="preserve"> </w:t>
      </w:r>
      <w:r>
        <w:t xml:space="preserve">when.</w:t>
      </w:r>
    </w:p>
    <w:p>
      <w:pPr>
        <w:pStyle w:val="BodyText"/>
      </w:pPr>
      <w:r>
        <w:t xml:space="preserve">The evidence contract for KSI-022 specifies:</w:t>
      </w:r>
    </w:p>
    <w:p>
      <w:pPr>
        <w:pStyle w:val="SourceCode"/>
      </w:pPr>
      <w:r>
        <w:rPr>
          <w:rStyle w:val="VerbatimChar"/>
        </w:rPr>
        <w:t xml:space="preserve">Substrate_Signal: governance.training-effectiveness-record</w:t>
      </w:r>
      <w:r>
        <w:br/>
      </w:r>
      <w:r>
        <w:rPr>
          <w:rStyle w:val="VerbatimChar"/>
        </w:rPr>
        <w:t xml:space="preserve">Data_Type:        Document</w:t>
      </w:r>
      <w:r>
        <w:br/>
      </w:r>
      <w:r>
        <w:rPr>
          <w:rStyle w:val="VerbatimChar"/>
        </w:rPr>
        <w:t xml:space="preserve">Evidence:         LMS training completion record demonstrating all four</w:t>
      </w:r>
      <w:r>
        <w:br/>
      </w:r>
      <w:r>
        <w:rPr>
          <w:rStyle w:val="VerbatimChar"/>
        </w:rPr>
        <w:t xml:space="preserve">                  training dimensions are reviewed</w:t>
      </w:r>
    </w:p>
    <w:p>
      <w:pPr>
        <w:pStyle w:val="FirstParagraph"/>
      </w:pPr>
      <w:r>
        <w:t xml:space="preserve">This means the LMS must produce an exportable record that the UIAO can</w:t>
      </w:r>
      <w:r>
        <w:t xml:space="preserve"> </w:t>
      </w:r>
      <w:r>
        <w:t xml:space="preserve">ingest and query. The record must answer four questions:</w:t>
      </w:r>
    </w:p>
    <w:p>
      <w:pPr>
        <w:numPr>
          <w:ilvl w:val="0"/>
          <w:numId w:val="1006"/>
        </w:numPr>
        <w:pStyle w:val="Compact"/>
      </w:pPr>
      <w:r>
        <w:t xml:space="preserve">Did</w:t>
      </w:r>
      <w:r>
        <w:t xml:space="preserve"> </w:t>
      </w:r>
      <w:r>
        <w:rPr>
          <w:bCs/>
          <w:b/>
        </w:rPr>
        <w:t xml:space="preserve">all employees</w:t>
      </w:r>
      <w:r>
        <w:t xml:space="preserve"> </w:t>
      </w:r>
      <w:r>
        <w:t xml:space="preserve">complete annual security awareness training (AT-2)?</w:t>
      </w:r>
    </w:p>
    <w:p>
      <w:pPr>
        <w:numPr>
          <w:ilvl w:val="0"/>
          <w:numId w:val="1006"/>
        </w:numPr>
        <w:pStyle w:val="Compact"/>
      </w:pPr>
      <w:r>
        <w:t xml:space="preserve">Did</w:t>
      </w:r>
      <w:r>
        <w:t xml:space="preserve"> </w:t>
      </w:r>
      <w:r>
        <w:rPr>
          <w:bCs/>
          <w:b/>
        </w:rPr>
        <w:t xml:space="preserve">all role-designated personnel</w:t>
      </w:r>
      <w:r>
        <w:t xml:space="preserve"> </w:t>
      </w:r>
      <w:r>
        <w:t xml:space="preserve">complete their role-specific track (AT-3)?</w:t>
      </w:r>
    </w:p>
    <w:p>
      <w:pPr>
        <w:numPr>
          <w:ilvl w:val="0"/>
          <w:numId w:val="1006"/>
        </w:numPr>
        <w:pStyle w:val="Compact"/>
      </w:pPr>
      <w:r>
        <w:t xml:space="preserve">Did</w:t>
      </w:r>
      <w:r>
        <w:t xml:space="preserve"> </w:t>
      </w:r>
      <w:r>
        <w:rPr>
          <w:bCs/>
          <w:b/>
        </w:rPr>
        <w:t xml:space="preserve">all developers / engineers</w:t>
      </w:r>
      <w:r>
        <w:t xml:space="preserve"> </w:t>
      </w:r>
      <w:r>
        <w:t xml:space="preserve">complete secure delivery training (AT-3(3))?</w:t>
      </w:r>
    </w:p>
    <w:p>
      <w:pPr>
        <w:numPr>
          <w:ilvl w:val="0"/>
          <w:numId w:val="1006"/>
        </w:numPr>
        <w:pStyle w:val="Compact"/>
      </w:pPr>
      <w:r>
        <w:t xml:space="preserve">Did</w:t>
      </w:r>
      <w:r>
        <w:t xml:space="preserve"> </w:t>
      </w:r>
      <w:r>
        <w:rPr>
          <w:bCs/>
          <w:b/>
        </w:rPr>
        <w:t xml:space="preserve">all IR/DR personnel</w:t>
      </w:r>
      <w:r>
        <w:t xml:space="preserve"> </w:t>
      </w:r>
      <w:r>
        <w:t xml:space="preserve">attend the required drills and tabletops (IR-2, CP-3)?</w:t>
      </w:r>
    </w:p>
    <w:bookmarkEnd w:id="50"/>
    <w:bookmarkStart w:id="54" w:name="training-completion-record-schema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Training Completion Record Schema</w:t>
      </w:r>
    </w:p>
    <w:p>
      <w:pPr>
        <w:pStyle w:val="FirstParagraph"/>
      </w:pPr>
      <w:r>
        <w:t xml:space="preserve">The training-effectiveness-record exported to the UIAO substrate follows</w:t>
      </w:r>
      <w:r>
        <w:t xml:space="preserve"> </w:t>
      </w:r>
      <w:r>
        <w:t xml:space="preserve">this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"training-effectiveness-review"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"2026-Q3"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"Viva Learning Graph API export"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"general_awareness_at2"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"population"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"overdue"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 Viva Learning"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"AAN-AT2-2026"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"phishing_simulation"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"campaigns_run"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"average_click_rate"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"remedial_training_triggered"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"role_based_at3"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"tier1_sysadmin"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"population"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"tier2_privileged"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"population"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"tier3_developer"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"population"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"tier4_ir_responder"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"population"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"tier5_data_steward"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"population"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"tier6_executive"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"population"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"secure_delivery_at3_sa16"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"population"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"labs_completed"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"ir_dr_training_ir2_cp3"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"ir_drills"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"conducted"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"attendance_rate"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"tabletop_exercises"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"conducted"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"attendance_rate"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"after_action_reports"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"ksi_cед_rat_status"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"attestation"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"isso_name"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"[ISSO Name]"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aptionedFigure"/>
      </w:pPr>
      <w:r>
        <w:drawing>
          <wp:inline>
            <wp:extent cx="7772400" cy="2615711"/>
            <wp:effectExtent b="0" l="0" r="0" t="0"/>
            <wp:docPr descr="AT-4 Evidence Collection Pipeline — governance.training-effectiveness-record" title="" id="52" name="Picture"/>
            <a:graphic>
              <a:graphicData uri="http://schemas.openxmlformats.org/drawingml/2006/picture">
                <pic:pic>
                  <pic:nvPicPr>
                    <pic:cNvPr descr="figs/ced-fig-02-evidence-pipelin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2615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AT-4 Evidence Collection Pipeline — governance.training-effectiveness-record</w:t>
      </w:r>
    </w:p>
    <w:bookmarkEnd w:id="54"/>
    <w:bookmarkStart w:id="57" w:name="microsoft-viva-learning-integration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Microsoft Viva Learning Integration</w:t>
      </w:r>
    </w:p>
    <w:p>
      <w:pPr>
        <w:pStyle w:val="FirstParagraph"/>
      </w:pPr>
      <w:r>
        <w:t xml:space="preserve">For organizations on Microsoft 365 GCC E3 or E5, Viva Learning is the</w:t>
      </w:r>
      <w:r>
        <w:t xml:space="preserve"> </w:t>
      </w:r>
      <w:r>
        <w:t xml:space="preserve">recommended LMS platform because its completion data is accessible via the</w:t>
      </w:r>
      <w:r>
        <w:t xml:space="preserve"> </w:t>
      </w:r>
      <w:r>
        <w:t xml:space="preserve">Microsoft Graph API without additional integration effort:</w:t>
      </w:r>
    </w:p>
    <w:bookmarkStart w:id="55" w:name="graph-api-query-for-at-4-evidence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Graph API Query for AT-4 Evidence</w:t>
      </w:r>
    </w:p>
    <w:p>
      <w:pPr>
        <w:pStyle w:val="SourceCode"/>
      </w:pPr>
      <w:r>
        <w:rPr>
          <w:rStyle w:val="CommentTok"/>
        </w:rPr>
        <w:t xml:space="preserve"># Get training completion records for AT-4 evidence export</w:t>
      </w:r>
      <w:r>
        <w:br/>
      </w:r>
      <w:r>
        <w:rPr>
          <w:rStyle w:val="CommentTok"/>
        </w:rPr>
        <w:t xml:space="preserve"># Requires: LearningAssignmentReport.Read.All permission</w:t>
      </w:r>
      <w:r>
        <w:br/>
      </w:r>
      <w:r>
        <w:br/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$accessToken"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Query all learning assignments in the review period</w:t>
      </w:r>
      <w:r>
        <w:br/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"https://graph.microsoft.com/v1.0/employeeExperience/learningCourseActivities"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</w:t>
      </w:r>
      <w:r>
        <w:br/>
      </w:r>
      <w:r>
        <w:br/>
      </w:r>
      <w:r>
        <w:rPr>
          <w:rStyle w:val="CommentTok"/>
        </w:rPr>
        <w:t xml:space="preserve"># Filter by course IDs in the AAN training program</w:t>
      </w:r>
      <w:r>
        <w:br/>
      </w:r>
      <w:r>
        <w:rPr>
          <w:rStyle w:val="VariableTok"/>
        </w:rPr>
        <w:t xml:space="preserve">$aanCourses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courseId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@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"AAN-AT2-2026"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"AAN-AT3-SYSADMIN-2026"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"AAN-AT3-DEV-2026"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"AAN-AT3-IR-2026"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Export to JSON for UIAO substrate ingestion</w:t>
      </w:r>
      <w:r>
        <w:br/>
      </w:r>
      <w:r>
        <w:rPr>
          <w:rStyle w:val="VariableTok"/>
        </w:rPr>
        <w:t xml:space="preserve">$aanCourses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5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"training-record-$(Get-Date -Format 'yyyyQq').json"</w:t>
      </w:r>
    </w:p>
    <w:bookmarkEnd w:id="55"/>
    <w:bookmarkStart w:id="56" w:name="automated-monthly-export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Automated Monthly Export</w:t>
      </w:r>
    </w:p>
    <w:p>
      <w:pPr>
        <w:pStyle w:val="FirstParagraph"/>
      </w:pPr>
      <w:r>
        <w:t xml:space="preserve">The training completion export should run on a monthly schedule so the</w:t>
      </w:r>
      <w:r>
        <w:t xml:space="preserve"> </w:t>
      </w:r>
      <w:r>
        <w:t xml:space="preserve">UIAO substrate always reflects current completion status. The recommended</w:t>
      </w:r>
      <w:r>
        <w:t xml:space="preserve"> </w:t>
      </w:r>
      <w:r>
        <w:t xml:space="preserve">pattern: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Logic App or Azure Automation runbook</w:t>
      </w:r>
      <w:r>
        <w:t xml:space="preserve"> </w:t>
      </w:r>
      <w:r>
        <w:t xml:space="preserve">triggers on the 1st of each month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Graph API call</w:t>
      </w:r>
      <w:r>
        <w:t xml:space="preserve"> </w:t>
      </w:r>
      <w:r>
        <w:t xml:space="preserve">retrieves completion records for all AAN training courses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Transform</w:t>
      </w:r>
      <w:r>
        <w:t xml:space="preserve"> </w:t>
      </w:r>
      <w:r>
        <w:t xml:space="preserve">maps Graph API response to the UIAO</w:t>
      </w:r>
      <w:r>
        <w:t xml:space="preserve"> </w:t>
      </w:r>
      <w:r>
        <w:rPr>
          <w:rStyle w:val="VerbatimChar"/>
        </w:rPr>
        <w:t xml:space="preserve">training-effectiveness-record</w:t>
      </w:r>
      <w:r>
        <w:t xml:space="preserve"> </w:t>
      </w:r>
      <w:r>
        <w:t xml:space="preserve">schema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Storage</w:t>
      </w:r>
      <w:r>
        <w:t xml:space="preserve"> </w:t>
      </w:r>
      <w:r>
        <w:t xml:space="preserve">writes the JSON to the governance record store (Azure Storage, GCC-compliant)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UIAO substrate pull</w:t>
      </w:r>
      <w:r>
        <w:t xml:space="preserve"> </w:t>
      </w:r>
      <w:r>
        <w:t xml:space="preserve">ingests the record on the next evidence collection cycle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2" w:name="nist-control-closur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NIST Control Closure</w:t>
      </w:r>
    </w:p>
    <w:bookmarkStart w:id="59" w:name="at-family-awareness-and-training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AT Family — Awareness and Training</w:t>
      </w:r>
    </w:p>
    <w:p>
      <w:pPr>
        <w:pStyle w:val="TableCaption"/>
      </w:pPr>
      <w:r>
        <w:t xml:space="preserve">AT Family Control Closure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 Family Control Closure {.striped .hover}"/>
      </w:tblPr>
      <w:tblGrid>
        <w:gridCol w:w="1425"/>
        <w:gridCol w:w="2059"/>
        <w:gridCol w:w="4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This Document Closes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training for all personnel before access and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Viva Learning program covering all 8 modules; phishing simulation quarterly; LMS completion record as AT-4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exercises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phishing simulation with click-rate tracking and remedial training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AT-2(2)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Insider threat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insider threat module in annual awareness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training for personnel with security 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Six-tier role matrix with distinct curricula; completion tracked separately per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AT-3(3)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exercises for high-risk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SBOM/Grype labs for Tier 3; Sentinel drill exercises for Tier 4; tabletop participation for Tier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AT-3(5)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processing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DLP and sensitivity label training for Tier 5 data stewards; connects to Part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 Learning Graph API export; JSON schema defined; monthly automated pull to UIAO governance substrate</w:t>
            </w:r>
          </w:p>
        </w:tc>
      </w:tr>
    </w:tbl>
    <w:bookmarkEnd w:id="59"/>
    <w:bookmarkStart w:id="60" w:name="cp-and-ir-family-contribution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CP and IR Family Contributions</w:t>
      </w:r>
    </w:p>
    <w:p>
      <w:pPr>
        <w:pStyle w:val="TableCaption"/>
      </w:pPr>
      <w:r>
        <w:t xml:space="preserve">CP-3 and IR-2 Contributions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P-3 and IR-2 Contributions {.striped .hover}"/>
      </w:tblPr>
      <w:tblGrid>
        <w:gridCol w:w="1827"/>
        <w:gridCol w:w="6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This Document Contributes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tabletop calendar with four quarterly exercises; attendance and after-action records archived; feeds PM-14 T&amp;T&amp;M 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 IR procedure drills; quarterly Sentinel playbook exercises; scenario library maintained by SOC; after-action reports archived</w:t>
            </w:r>
          </w:p>
        </w:tc>
      </w:tr>
    </w:tbl>
    <w:bookmarkEnd w:id="60"/>
    <w:bookmarkStart w:id="61" w:name="net-new-controls-closed-by-part-15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Net New Controls Closed by Part 15</w:t>
      </w:r>
    </w:p>
    <w:p>
      <w:pPr>
        <w:pStyle w:val="TableCaption"/>
      </w:pPr>
      <w:r>
        <w:t xml:space="preserve">Part 15 — Net New NIST SP 800-53 Rev 5 Controls Closed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rt 15 — Net New NIST SP 800-53 Rev 5 Controls Closed {.striped .hover}"/>
      </w:tblPr>
      <w:tblGrid>
        <w:gridCol w:w="2640"/>
        <w:gridCol w:w="297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— Awareness and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AT-2(1), AT-2(2), AT-3, AT-3(3), AT-3(5), AT-4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 — Contingency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CP-3 (tabletop evidence; plan execution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— 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 (drill evidence; playbook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controls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ksi-ced-rat-activa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KSI-CED-RAT Activation</w:t>
      </w:r>
    </w:p>
    <w:bookmarkStart w:id="63" w:name="evidence-contract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Evidence Contract</w:t>
      </w:r>
    </w:p>
    <w:p>
      <w:pPr>
        <w:pStyle w:val="FirstParagraph"/>
      </w:pPr>
      <w:r>
        <w:t xml:space="preserve">KSI-022 (KSI-CED-RAT —</w:t>
      </w:r>
      <w:r>
        <w:t xml:space="preserve"> </w:t>
      </w:r>
      <w:r>
        <w:t xml:space="preserve">“</w:t>
      </w:r>
      <w:r>
        <w:t xml:space="preserve">Reviewing All Training</w:t>
      </w:r>
      <w:r>
        <w:t xml:space="preserve">”</w:t>
      </w:r>
      <w:r>
        <w:t xml:space="preserve">) is the final scaffold</w:t>
      </w:r>
      <w:r>
        <w:t xml:space="preserve"> </w:t>
      </w:r>
      <w:r>
        <w:t xml:space="preserve">rule in the UIAO CR26 ruleset. Its activation requires a</w:t>
      </w:r>
      <w:r>
        <w:t xml:space="preserve"> </w:t>
      </w:r>
      <w:r>
        <w:rPr>
          <w:rStyle w:val="VerbatimChar"/>
        </w:rPr>
        <w:t xml:space="preserve">governance.training-effectiveness-record</w:t>
      </w:r>
      <w:r>
        <w:t xml:space="preserve"> </w:t>
      </w:r>
      <w:r>
        <w:t xml:space="preserve">that demonstrates persistent</w:t>
      </w:r>
      <w:r>
        <w:t xml:space="preserve"> </w:t>
      </w:r>
      <w:r>
        <w:t xml:space="preserve">review of all four training dimensions.</w:t>
      </w:r>
    </w:p>
    <w:p>
      <w:pPr>
        <w:pStyle w:val="BodyText"/>
      </w:pPr>
      <w:r>
        <w:t xml:space="preserve">This document provides: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Dimension 1 (AT-2):</w:t>
      </w:r>
      <w:r>
        <w:t xml:space="preserve"> </w:t>
      </w:r>
      <w:r>
        <w:t xml:space="preserve">Annual Viva Learning program with monthly LMS</w:t>
      </w:r>
      <w:r>
        <w:t xml:space="preserve"> </w:t>
      </w:r>
      <w:r>
        <w:t xml:space="preserve">export — the record shows completion rate, population covered, and</w:t>
      </w:r>
      <w:r>
        <w:t xml:space="preserve"> </w:t>
      </w:r>
      <w:r>
        <w:t xml:space="preserve">phishing simulation results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Dimension 2 (AT-3 role-based):</w:t>
      </w:r>
      <w:r>
        <w:t xml:space="preserve"> </w:t>
      </w:r>
      <w:r>
        <w:t xml:space="preserve">Six-tier completion record in the</w:t>
      </w:r>
      <w:r>
        <w:t xml:space="preserve"> </w:t>
      </w:r>
      <w:r>
        <w:t xml:space="preserve">JSON schema — each tier tracked separately, completion rate and overdue</w:t>
      </w:r>
      <w:r>
        <w:t xml:space="preserve"> </w:t>
      </w:r>
      <w:r>
        <w:t xml:space="preserve">count visible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Dimension 3 (AT-3 secure delivery):</w:t>
      </w:r>
      <w:r>
        <w:t xml:space="preserve"> </w:t>
      </w:r>
      <w:r>
        <w:t xml:space="preserve">Developer lab completion</w:t>
      </w:r>
      <w:r>
        <w:t xml:space="preserve"> </w:t>
      </w:r>
      <w:r>
        <w:t xml:space="preserve">records and course transcripts — Syft/Grype labs produce a</w:t>
      </w:r>
      <w:r>
        <w:t xml:space="preserve"> </w:t>
      </w:r>
      <w:r>
        <w:t xml:space="preserve">participation record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Dimension 4 (IR-2/CP-3):</w:t>
      </w:r>
      <w:r>
        <w:t xml:space="preserve"> </w:t>
      </w:r>
      <w:r>
        <w:t xml:space="preserve">Tabletop attendance records and after-action</w:t>
      </w:r>
      <w:r>
        <w:t xml:space="preserve"> </w:t>
      </w:r>
      <w:r>
        <w:t xml:space="preserve">reports — archived documents with dates, attendees, and findings</w:t>
      </w:r>
    </w:p>
    <w:p>
      <w:pPr>
        <w:pStyle w:val="FirstParagraph"/>
      </w:pPr>
      <w:r>
        <w:t xml:space="preserve">When the monthly LMS export is running and the UIAO substrate is ingesting</w:t>
      </w:r>
      <w:r>
        <w:t xml:space="preserve"> </w:t>
      </w:r>
      <w:r>
        <w:t xml:space="preserve">it, the</w:t>
      </w:r>
      <w:r>
        <w:t xml:space="preserve"> </w:t>
      </w:r>
      <w:r>
        <w:rPr>
          <w:rStyle w:val="VerbatimChar"/>
        </w:rPr>
        <w:t xml:space="preserve">ksi_ced_rat_status</w:t>
      </w:r>
      <w:r>
        <w:t xml:space="preserve"> </w:t>
      </w:r>
      <w:r>
        <w:t xml:space="preserve">field in the record evaluates to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when:</w:t>
      </w:r>
    </w:p>
    <w:p>
      <w:pPr>
        <w:numPr>
          <w:ilvl w:val="0"/>
          <w:numId w:val="1009"/>
        </w:numPr>
        <w:pStyle w:val="Compact"/>
      </w:pPr>
      <w:r>
        <w:t xml:space="preserve">AT-2 completion rate ≥ 95% (allowing for onboarding lag and approved exceptions)</w:t>
      </w:r>
    </w:p>
    <w:p>
      <w:pPr>
        <w:numPr>
          <w:ilvl w:val="0"/>
          <w:numId w:val="1009"/>
        </w:numPr>
        <w:pStyle w:val="Compact"/>
      </w:pPr>
      <w:r>
        <w:t xml:space="preserve">AT-3 completion rate ≥ 95% per tier</w:t>
      </w:r>
    </w:p>
    <w:p>
      <w:pPr>
        <w:numPr>
          <w:ilvl w:val="0"/>
          <w:numId w:val="1009"/>
        </w:numPr>
        <w:pStyle w:val="Compact"/>
      </w:pPr>
      <w:r>
        <w:t xml:space="preserve">AT-3 secure delivery completion rate ≥ 95%</w:t>
      </w:r>
    </w:p>
    <w:p>
      <w:pPr>
        <w:numPr>
          <w:ilvl w:val="0"/>
          <w:numId w:val="1009"/>
        </w:numPr>
        <w:pStyle w:val="Compact"/>
      </w:pPr>
      <w:r>
        <w:t xml:space="preserve">IR/DR drills conducted on schedule (both semi-annual drills run; tabletop run)</w:t>
      </w:r>
    </w:p>
    <w:bookmarkEnd w:id="63"/>
    <w:bookmarkStart w:id="64" w:name="ksi-022-status-after-part-15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KSI-022 Status After Part 15</w:t>
      </w:r>
    </w:p>
    <w:p>
      <w:pPr>
        <w:pStyle w:val="FirstParagraph"/>
      </w:pPr>
      <w:r>
        <w:t xml:space="preserve">Once the monthly LMS export is operational and the first</w:t>
      </w:r>
      <w:r>
        <w:t xml:space="preserve"> </w:t>
      </w:r>
      <w:r>
        <w:rPr>
          <w:rStyle w:val="VerbatimChar"/>
        </w:rPr>
        <w:t xml:space="preserve">training-effectiveness-record</w:t>
      </w:r>
      <w:r>
        <w:t xml:space="preserve"> </w:t>
      </w:r>
      <w:r>
        <w:t xml:space="preserve">is ingested by the UIAO substrate: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KSI-022 status:</w:t>
      </w:r>
      <w:r>
        <w:t xml:space="preserve"> </w:t>
      </w:r>
      <w:r>
        <w:t xml:space="preserve">scaffold →</w:t>
      </w:r>
      <w:r>
        <w:t xml:space="preserve"> </w:t>
      </w:r>
      <w:r>
        <w:rPr>
          <w:bCs/>
          <w:b/>
        </w:rPr>
        <w:t xml:space="preserve">active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Confidence:</w:t>
      </w:r>
      <w:r>
        <w:t xml:space="preserve"> </w:t>
      </w:r>
      <w:r>
        <w:t xml:space="preserve">low →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(pending first full-year completion cycle)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CR26 KSI coverage:</w:t>
      </w:r>
      <w:r>
        <w:t xml:space="preserve"> </w:t>
      </w:r>
      <w:r>
        <w:t xml:space="preserve">28/29 active →</w:t>
      </w:r>
      <w:r>
        <w:t xml:space="preserve"> </w:t>
      </w:r>
      <w:r>
        <w:rPr>
          <w:bCs/>
          <w:b/>
        </w:rPr>
        <w:t xml:space="preserve">29/29 active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All CR26 KSI themes:</w:t>
      </w:r>
      <w:r>
        <w:t xml:space="preserve"> </w:t>
      </w:r>
      <w:r>
        <w:t xml:space="preserve">IAM ✓ · MLA ✓ · SVC ✓ · SCR ✓ · PIY ✓ · INR ✓ · RPL ✓ ·</w:t>
      </w:r>
      <w:r>
        <w:t xml:space="preserve"> </w:t>
      </w:r>
      <w:r>
        <w:rPr>
          <w:bCs/>
          <w:b/>
        </w:rPr>
        <w:t xml:space="preserve">CED ✓</w:t>
      </w:r>
    </w:p>
    <w:p>
      <w:pPr>
        <w:pStyle w:val="FirstParagraph"/>
      </w:pPr>
      <w:r>
        <w:rPr>
          <w:bCs/>
          <w:b/>
        </w:rPr>
        <w:t xml:space="preserve">This completes the KSI coverage across all eight CR26 themes.</w:t>
      </w:r>
      <w:r>
        <w:t xml:space="preserve"> </w:t>
      </w:r>
      <w:r>
        <w:t xml:space="preserve">The</w:t>
      </w:r>
      <w:r>
        <w:t xml:space="preserve"> </w:t>
      </w:r>
      <w:r>
        <w:t xml:space="preserve">Federal Application-Aware Networking series — fifteen books, nine NIST</w:t>
      </w:r>
      <w:r>
        <w:t xml:space="preserve"> </w:t>
      </w:r>
      <w:r>
        <w:t xml:space="preserve">control families, 29 CR26 Key Security Indicators — is fully evaluable</w:t>
      </w:r>
      <w:r>
        <w:t xml:space="preserve"> </w:t>
      </w:r>
      <w:r>
        <w:t xml:space="preserve">under FedRAMP 20x Consolidated Rules.</w:t>
      </w:r>
    </w:p>
    <w:bookmarkEnd w:id="64"/>
    <w:bookmarkStart w:id="65" w:name="series-completion-summary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Series Completion Summary</w:t>
      </w:r>
    </w:p>
    <w:p>
      <w:pPr>
        <w:pStyle w:val="TableCaption"/>
      </w:pPr>
      <w:r>
        <w:t xml:space="preserve">Federal AAN Series — Complete Control and KSI Coverage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Federal AAN Series — Complete Control and KSI Coverage {.striped .hover}"/>
      </w:tblPr>
      <w:tblGrid>
        <w:gridCol w:w="1033"/>
        <w:gridCol w:w="1377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KSIs Activated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DDI Landing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IAM, MLA, SVC (addressing)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Telecommunications (SD-WAN/SASE)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SVC (boundary), MLA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and Identity Modernization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IAM, SVC (network)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Parts 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 (SQL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Architecture and Network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SVC (data)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AC-5/6/11/12, IA-11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IAM-ELP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RA-5, SI-2, CM-7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MLA-ALA, SVC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and Purview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MP, SC-12/13/28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SVC (data protection)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/ XDR / Detection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AU-6/7/8, SI-4, IR-4/6/8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MLA (primary)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CP-2 through 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 through SR-11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SCR-MIT, SCR-MON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Management and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PM-1/2/5/7/9/11/14/15/30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 (governance)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Processing and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PT-1 through PT-7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PIY-RSD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Training and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AT-2/3/4, CP-3, IR-2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CED-RAT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1" w:name="implementation-checklis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Implementation Checklist</w:t>
      </w:r>
    </w:p>
    <w:bookmarkStart w:id="67" w:name="phase-1-program-setup-weeks-14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Phase 1 — Program Setup (Weeks 1–4)</w:t>
      </w:r>
    </w:p>
    <w:p>
      <w:pPr>
        <w:numPr>
          <w:ilvl w:val="0"/>
          <w:numId w:val="1011"/>
        </w:numPr>
        <w:pStyle w:val="Compact"/>
      </w:pPr>
      <w:r>
        <w:t xml:space="preserve">☐ Designate training program owner (ISSO or delegate)</w:t>
      </w:r>
    </w:p>
    <w:p>
      <w:pPr>
        <w:numPr>
          <w:ilvl w:val="0"/>
          <w:numId w:val="1011"/>
        </w:numPr>
        <w:pStyle w:val="Compact"/>
      </w:pPr>
      <w:r>
        <w:t xml:space="preserve">☐ Select LMS platform (Viva Learning recommended for M365 GCC E3/E5)</w:t>
      </w:r>
    </w:p>
    <w:p>
      <w:pPr>
        <w:numPr>
          <w:ilvl w:val="0"/>
          <w:numId w:val="1011"/>
        </w:numPr>
        <w:pStyle w:val="Compact"/>
      </w:pPr>
      <w:r>
        <w:t xml:space="preserve">☐ Define role tier assignments — map all users to Tier 1–6</w:t>
      </w:r>
    </w:p>
    <w:p>
      <w:pPr>
        <w:numPr>
          <w:ilvl w:val="0"/>
          <w:numId w:val="1011"/>
        </w:numPr>
        <w:pStyle w:val="Compact"/>
      </w:pPr>
      <w:r>
        <w:t xml:space="preserve">☐ Configure Graph API export with</w:t>
      </w:r>
      <w:r>
        <w:t xml:space="preserve"> </w:t>
      </w:r>
      <w:r>
        <w:rPr>
          <w:rStyle w:val="VerbatimChar"/>
        </w:rPr>
        <w:t xml:space="preserve">LearningAssignmentReport.Read.All</w:t>
      </w:r>
    </w:p>
    <w:p>
      <w:pPr>
        <w:numPr>
          <w:ilvl w:val="0"/>
          <w:numId w:val="1011"/>
        </w:numPr>
        <w:pStyle w:val="Compact"/>
      </w:pPr>
      <w:r>
        <w:t xml:space="preserve">☐ Create course library in Viva Learning (or import CISA/DoD content)</w:t>
      </w:r>
    </w:p>
    <w:p>
      <w:pPr>
        <w:numPr>
          <w:ilvl w:val="0"/>
          <w:numId w:val="1011"/>
        </w:numPr>
        <w:pStyle w:val="Compact"/>
      </w:pPr>
      <w:r>
        <w:t xml:space="preserve">☐ Enroll all employees in AT-2 general awareness track</w:t>
      </w:r>
    </w:p>
    <w:bookmarkEnd w:id="67"/>
    <w:bookmarkStart w:id="68" w:name="phase-2-content-and-delivery-weeks-512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Phase 2 — Content and Delivery (Weeks 5–12)</w:t>
      </w:r>
    </w:p>
    <w:p>
      <w:pPr>
        <w:numPr>
          <w:ilvl w:val="0"/>
          <w:numId w:val="1012"/>
        </w:numPr>
        <w:pStyle w:val="Compact"/>
      </w:pPr>
      <w:r>
        <w:t xml:space="preserve">☐ Launch AT-2 general awareness campaign (all employees)</w:t>
      </w:r>
    </w:p>
    <w:p>
      <w:pPr>
        <w:numPr>
          <w:ilvl w:val="0"/>
          <w:numId w:val="1012"/>
        </w:numPr>
        <w:pStyle w:val="Compact"/>
      </w:pPr>
      <w:r>
        <w:t xml:space="preserve">☐ Launch AT-3 Tier 1 (sysadmin) and Tier 3 (developer) tracks — highest priority</w:t>
      </w:r>
    </w:p>
    <w:p>
      <w:pPr>
        <w:numPr>
          <w:ilvl w:val="0"/>
          <w:numId w:val="1012"/>
        </w:numPr>
        <w:pStyle w:val="Compact"/>
      </w:pPr>
      <w:r>
        <w:t xml:space="preserve">☐ Configure phishing simulation platform (Attack Simulator or KnowBe4)</w:t>
      </w:r>
    </w:p>
    <w:p>
      <w:pPr>
        <w:numPr>
          <w:ilvl w:val="0"/>
          <w:numId w:val="1012"/>
        </w:numPr>
        <w:pStyle w:val="Compact"/>
      </w:pPr>
      <w:r>
        <w:t xml:space="preserve">☐ Run first phishing simulation campaign</w:t>
      </w:r>
    </w:p>
    <w:p>
      <w:pPr>
        <w:numPr>
          <w:ilvl w:val="0"/>
          <w:numId w:val="1012"/>
        </w:numPr>
        <w:pStyle w:val="Compact"/>
      </w:pPr>
      <w:r>
        <w:t xml:space="preserve">☐ Deliver first Tier 3 SBOM/Grype hands-on lab</w:t>
      </w:r>
    </w:p>
    <w:p>
      <w:pPr>
        <w:numPr>
          <w:ilvl w:val="0"/>
          <w:numId w:val="1012"/>
        </w:numPr>
        <w:pStyle w:val="Compact"/>
      </w:pPr>
      <w:r>
        <w:t xml:space="preserve">☐ Schedule IR drill with SOC team</w:t>
      </w:r>
    </w:p>
    <w:bookmarkEnd w:id="68"/>
    <w:bookmarkStart w:id="69" w:name="phase-3-evidence-integration-weeks-1316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Phase 3 — Evidence Integration (Weeks 13–16)</w:t>
      </w:r>
    </w:p>
    <w:p>
      <w:pPr>
        <w:numPr>
          <w:ilvl w:val="0"/>
          <w:numId w:val="1013"/>
        </w:numPr>
        <w:pStyle w:val="Compact"/>
      </w:pPr>
      <w:r>
        <w:t xml:space="preserve">☐ Deploy Logic App / Automation Runbook for monthly LMS export</w:t>
      </w:r>
    </w:p>
    <w:p>
      <w:pPr>
        <w:numPr>
          <w:ilvl w:val="0"/>
          <w:numId w:val="1013"/>
        </w:numPr>
        <w:pStyle w:val="Compact"/>
      </w:pPr>
      <w:r>
        <w:t xml:space="preserve">☐ Map Graph API output to</w:t>
      </w:r>
      <w:r>
        <w:t xml:space="preserve"> </w:t>
      </w:r>
      <w:r>
        <w:rPr>
          <w:rStyle w:val="VerbatimChar"/>
        </w:rPr>
        <w:t xml:space="preserve">training-effectiveness-record</w:t>
      </w:r>
      <w:r>
        <w:t xml:space="preserve"> </w:t>
      </w:r>
      <w:r>
        <w:t xml:space="preserve">JSON schema</w:t>
      </w:r>
    </w:p>
    <w:p>
      <w:pPr>
        <w:numPr>
          <w:ilvl w:val="0"/>
          <w:numId w:val="1013"/>
        </w:numPr>
        <w:pStyle w:val="Compact"/>
      </w:pPr>
      <w:r>
        <w:t xml:space="preserve">☐ Integrate export into UIAO governance substrate</w:t>
      </w:r>
    </w:p>
    <w:p>
      <w:pPr>
        <w:numPr>
          <w:ilvl w:val="0"/>
          <w:numId w:val="1013"/>
        </w:numPr>
        <w:pStyle w:val="Compact"/>
      </w:pPr>
      <w:r>
        <w:t xml:space="preserve">☐ Validate KSI-022 query returns PASS on first ingested record</w:t>
      </w:r>
    </w:p>
    <w:p>
      <w:pPr>
        <w:numPr>
          <w:ilvl w:val="0"/>
          <w:numId w:val="1013"/>
        </w:numPr>
        <w:pStyle w:val="Compact"/>
      </w:pPr>
      <w:r>
        <w:t xml:space="preserve">☐ Archive first tabletop after-action report in governance record store</w:t>
      </w:r>
    </w:p>
    <w:bookmarkEnd w:id="69"/>
    <w:bookmarkStart w:id="70" w:name="phase-4-steady-state-ongoing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Phase 4 — Steady State (Ongoing)</w:t>
      </w:r>
    </w:p>
    <w:p>
      <w:pPr>
        <w:numPr>
          <w:ilvl w:val="0"/>
          <w:numId w:val="1014"/>
        </w:numPr>
        <w:pStyle w:val="Compact"/>
      </w:pPr>
      <w:r>
        <w:t xml:space="preserve">☐ Monthly LMS export running and ingesting automatically</w:t>
      </w:r>
    </w:p>
    <w:p>
      <w:pPr>
        <w:numPr>
          <w:ilvl w:val="0"/>
          <w:numId w:val="1014"/>
        </w:numPr>
        <w:pStyle w:val="Compact"/>
      </w:pPr>
      <w:r>
        <w:t xml:space="preserve">☐ Quarterly phishing simulation campaigns on calendar</w:t>
      </w:r>
    </w:p>
    <w:p>
      <w:pPr>
        <w:numPr>
          <w:ilvl w:val="0"/>
          <w:numId w:val="1014"/>
        </w:numPr>
        <w:pStyle w:val="Compact"/>
      </w:pPr>
      <w:r>
        <w:t xml:space="preserve">☐ Semi-annual IR drill scheduled for H1 and H2</w:t>
      </w:r>
    </w:p>
    <w:p>
      <w:pPr>
        <w:numPr>
          <w:ilvl w:val="0"/>
          <w:numId w:val="1014"/>
        </w:numPr>
        <w:pStyle w:val="Compact"/>
      </w:pPr>
      <w:r>
        <w:t xml:space="preserve">☐ Annual tabletop calendar set (Q1–Q4 per CP-3 schedule)</w:t>
      </w:r>
    </w:p>
    <w:p>
      <w:pPr>
        <w:numPr>
          <w:ilvl w:val="0"/>
          <w:numId w:val="1014"/>
        </w:numPr>
        <w:pStyle w:val="Compact"/>
      </w:pPr>
      <w:r>
        <w:t xml:space="preserve">☐ ISSO reviews training-effectiveness-record quarterly dashboard</w:t>
      </w:r>
    </w:p>
    <w:p>
      <w:pPr>
        <w:numPr>
          <w:ilvl w:val="0"/>
          <w:numId w:val="1014"/>
        </w:numPr>
        <w:pStyle w:val="Compact"/>
      </w:pPr>
      <w:r>
        <w:t xml:space="preserve">☐ Annual AT-2 content refresh cycle (update for emerging threats)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document-reference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Document References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SSA Landing Zone IPAM / FedRAMP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1: InfoBlox DDI, four-environment landing zone, NIST control mapping, FedRAMP 20x KSI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Federal Telecommunications Modernization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2: Amazon Connect, Teams Phone, SD-WAN/SASE, G.114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Network Modernization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3: AD-to-Entra migration, ZTNA, Active Governance, FedRAMP 20x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SQL Server Authentication Modernization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4: Arc Managed Identity, Kerberos/NTLM elimination, login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SQL Server Implementation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5: 10-book runbook — estate discovery, Arc deployment,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Database Consolidation and Network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6: SSOT architecture, speed-of-light floor, SD-WAN for database 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Privileged Access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7: Entra PIM JIT, PAW architecture, AC-6 least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Vulnerability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8: Defender MDVM, CISA KEV, BOD 22-01 SLAs, RA-5 continuous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Data Protection and Purview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9: Purview DLP, sensitivity labels, Key Vault CMK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SIEM / XDR / Detection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10: Sentinel connectors, KQL analytics, UEBA, Logic App playbooks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Business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11: CP-2 Contingency Plan, BIA, SQL AG and DDI DR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Supply Chain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12: Syft SBOM, Grype VDR, OpenVEX, GitHub Actions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Program Management and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13: ISPP, POA&amp;M, SCRM Charter, PM-30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AAN — PII Processing and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14: PT family templates, Privacy Program Plan, Purview Data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SP 800-53 Rev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and Privacy Controls — AT, CP, IR families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SP 800-50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 Information Technology Security Awareness and Training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SP 800-16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Technology Security Training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Consolidated Rules (June 25,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KSI-CED-RAT — Reviewing All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 Cybersecurity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free.cisa.gov — federal workforce awareness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DoD Cyber Awareness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awareness training; ATCTS completion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Graph API — Viva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LearningCourseActivities endpoint for AT-4 evidence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 14028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Improving the Nation’s Cybersecurity — training requirements for federal workforce</w:t>
            </w:r>
          </w:p>
        </w:tc>
      </w:tr>
    </w:tbl>
    <w:bookmarkEnd w:id="72"/>
    <w:sectPr>
      <w:pgMar w:top="720" w:right="720" w:bottom="720" w:left="72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15 — Federal Application-Aware Networking — Part 15</dc:title>
  <dc:creator>SSA Cloud Services Team</dc:creator>
  <cp:keywords/>
  <dcterms:created xsi:type="dcterms:W3CDTF">2026-07-04T20:10:32Z</dcterms:created>
  <dcterms:modified xsi:type="dcterms:W3CDTF">2026-07-04T20:10:32Z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4, 2026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Cybersecurity Awareness and Training Program: AT Family, LMS Evidence Integration, and KSI-CED-RAT Activation for FedRAMP 20x</vt:lpwstr>
  </property>
</Properties>
</file>