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53.png" ContentType="image/png"/>
  <Override PartName="/word/media/rId47.png" ContentType="image/png"/>
  <Override PartName="/word/media/rId86.png" ContentType="image/png"/>
  <Override PartName="/word/media/rId77.png" ContentType="image/png"/>
  <Override PartName="/word/media/rId58.png" ContentType="image/png"/>
  <Override PartName="/word/media/rId98.png" ContentType="image/png"/>
  <Override PartName="/word/media/rId35.png" ContentType="image/png"/>
  <Override PartName="/word/media/rId6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OPM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11:08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2" w:name="opm-hrit-the-program-and-its-timeline"/>
    <w:p>
      <w:pPr>
        <w:pStyle w:val="Heading1"/>
      </w:pPr>
      <w:r>
        <w:t xml:space="preserve">3. OPM HRIT: The Program and Its Timeline</w:t>
      </w:r>
    </w:p>
    <w:p>
      <w:pPr>
        <w:pStyle w:val="FirstParagraph"/>
      </w:pPr>
      <w:r>
        <w:t xml:space="preserve">Before this book can designate OPM HRIT as the system of record, it owes the reader an introduction — awareness of the program cannot be assumed, and the architecture that follows makes considerably more sense once its fifty-year backstory is visible.</w:t>
      </w:r>
    </w:p>
    <w:p>
      <w:pPr>
        <w:pStyle w:val="BodyText"/>
      </w:pPr>
      <w:r>
        <w:rPr>
          <w:b/>
          <w:bCs/>
        </w:rPr>
        <w:t xml:space="preserve">What it is.</w:t>
      </w:r>
      <w:r>
        <w:t xml:space="preserve"> </w:t>
      </w:r>
      <w:r>
        <w:t xml:space="preserve">OPM HRIT is the Office of Personnel Management’s Human Resources Information Technology line — the shared-services program through which OPM delivers HR systems and workforce data services across the federal government: personnel action processing (the SF-50 pipeline), the electronic Official Personnel Folder (eOPF), and the government-wide HR data backbone, Enterprise Human Resources Integration (EHRI).</w:t>
      </w:r>
    </w:p>
    <w:p>
      <w:pPr>
        <w:pStyle w:val="BodyText"/>
      </w:pPr>
      <w:r>
        <w:rPr>
          <w:b/>
          <w:bCs/>
        </w:rPr>
        <w:t xml:space="preserve">Who OPM is in this story.</w:t>
      </w:r>
      <w:r>
        <w:t xml:space="preserve"> </w:t>
      </w:r>
      <w:r>
        <w:t xml:space="preserve">Not just a policy shop. Under OMB M-19-16 (</w:t>
      </w:r>
      <w:r>
        <w:rPr>
          <w:i/>
          <w:iCs/>
        </w:rPr>
        <w:t xml:space="preserve">Centralized Mission Support Capabilities for the Federal Government</w:t>
      </w:r>
      <w:r>
        <w:t xml:space="preserve">, April 2019), OPM was designated the</w:t>
      </w:r>
      <w:r>
        <w:t xml:space="preserve"> </w:t>
      </w:r>
      <w:r>
        <w:rPr>
          <w:b/>
          <w:bCs/>
        </w:rPr>
        <w:t xml:space="preserve">HR Quality Services Management Office (HR QSMO)</w:t>
      </w:r>
      <w:r>
        <w:t xml:space="preserve"> </w:t>
      </w:r>
      <w:r>
        <w:t xml:space="preserve">— the government-wide standards owner and storefront for HR IT. The policy direction is explicit: agencies procure HR technology through the QSMO’s vetted marketplace rather than building bespoke systems.</w:t>
      </w:r>
    </w:p>
    <w:p>
      <w:pPr>
        <w:pStyle w:val="BodyText"/>
      </w:pPr>
      <w:r>
        <w:rPr>
          <w:b/>
          <w:bCs/>
        </w:rPr>
        <w:t xml:space="preserve">Why SSA touches it.</w:t>
      </w:r>
      <w:r>
        <w:t xml:space="preserve"> </w:t>
      </w:r>
      <w:r>
        <w:t xml:space="preserve">SSA consumes OPM HRIT services for personnel actions and workforce records today. As OPM modernizes delivery to SaaS — Oracle HCM Cloud, from the externally managed OCI tenancy</w:t>
      </w:r>
      <w:r>
        <w:t xml:space="preserve"> </w:t>
      </w:r>
      <w:hyperlink r:id="rId15">
        <w:r>
          <w:rPr>
            <w:rStyle w:val="Hyperlink"/>
          </w:rPr>
          <w:t xml:space="preserve">Book 01</w:t>
        </w:r>
      </w:hyperlink>
      <w:r>
        <w:t xml:space="preserve"> </w:t>
      </w:r>
      <w:r>
        <w:t xml:space="preserve">placed as the fourth landing-zone environment — SSA’s integration surface changes from file and mainframe handoffs to a federated API surface, which is exactly the provisioning feed this book turns into the identity SSOT.</w:t>
      </w:r>
    </w:p>
    <w:bookmarkStart w:id="41" w:name="fifty-years-of-consolidation"/>
    <w:p>
      <w:pPr>
        <w:pStyle w:val="Heading2"/>
      </w:pPr>
      <w:r>
        <w:t xml:space="preserve">3.1 Fifty Years of Consolidation</w:t>
      </w:r>
    </w:p>
    <w:p>
      <w:pPr>
        <w:pStyle w:val="FirstParagraph"/>
      </w:pPr>
      <w:r>
        <w:t xml:space="preserve">Every milestone in the program’s history moves the same direction: fewer systems, more authoritative data, shared delivery. The SSOT architecture in this book is not a novel invention — it is the landing point that five decades of federal HR consolidation policy have been driving toward.</w:t>
      </w:r>
    </w:p>
    <w:p>
      <w:pPr>
        <w:pStyle w:val="TableCaption"/>
      </w:pPr>
      <w:r>
        <w:t xml:space="preserve">The OPM HRIT timeline — five decades of consolidation</w:t>
      </w:r>
    </w:p>
    <w:tbl>
      <w:tblPr>
        <w:tblStyle w:val="Table"/>
        <w:tblW w:type="pct" w:w="5000"/>
        <w:tblLayout w:type="fixed"/>
        <w:tblLook w:firstRow="1" w:lastRow="0" w:firstColumn="0" w:lastColumn="0" w:noHBand="0" w:noVBand="0" w:val="0020"/>
        <w:tblCaption w:val="The OPM HRIT timeline — five decades of consolidation"/>
      </w:tblPr>
      <w:tblGrid>
        <w:gridCol w:w="2640"/>
        <w:gridCol w:w="2640"/>
        <w:gridCol w:w="2640"/>
      </w:tblGrid>
      <w:tr>
        <w:trPr>
          <w:tblHeader w:val="on"/>
        </w:trPr>
        <w:tc>
          <w:tcPr/>
          <w:p>
            <w:pPr>
              <w:pStyle w:val="Compact"/>
            </w:pPr>
            <w:r>
              <w:t xml:space="preserve">Year</w:t>
            </w:r>
          </w:p>
        </w:tc>
        <w:tc>
          <w:tcPr/>
          <w:p>
            <w:pPr>
              <w:pStyle w:val="Compact"/>
            </w:pPr>
            <w:r>
              <w:t xml:space="preserve">Milestone</w:t>
            </w:r>
          </w:p>
        </w:tc>
        <w:tc>
          <w:tcPr/>
          <w:p>
            <w:pPr>
              <w:pStyle w:val="Compact"/>
            </w:pPr>
            <w:r>
              <w:t xml:space="preserve">What Changed</w:t>
            </w:r>
          </w:p>
        </w:tc>
      </w:tr>
      <w:tr>
        <w:tc>
          <w:tcPr/>
          <w:p>
            <w:pPr>
              <w:pStyle w:val="Compact"/>
            </w:pPr>
            <w:r>
              <w:t xml:space="preserve">1972</w:t>
            </w:r>
          </w:p>
        </w:tc>
        <w:tc>
          <w:tcPr/>
          <w:p>
            <w:pPr>
              <w:pStyle w:val="Compact"/>
            </w:pPr>
            <w:r>
              <w:rPr>
                <w:b/>
                <w:bCs/>
              </w:rPr>
              <w:t xml:space="preserve">CPDF</w:t>
            </w:r>
          </w:p>
        </w:tc>
        <w:tc>
          <w:tcPr/>
          <w:p>
            <w:pPr>
              <w:pStyle w:val="Compact"/>
            </w:pPr>
            <w:r>
              <w:t xml:space="preserve">The Central Personnel Data File — OPM’s first government-wide personnel data system</w:t>
            </w:r>
          </w:p>
        </w:tc>
      </w:tr>
      <w:tr>
        <w:tc>
          <w:tcPr/>
          <w:p>
            <w:pPr>
              <w:pStyle w:val="Compact"/>
            </w:pPr>
            <w:r>
              <w:t xml:space="preserve">2002</w:t>
            </w:r>
          </w:p>
        </w:tc>
        <w:tc>
          <w:tcPr/>
          <w:p>
            <w:pPr>
              <w:pStyle w:val="Compact"/>
            </w:pPr>
            <w:r>
              <w:rPr>
                <w:b/>
                <w:bCs/>
              </w:rPr>
              <w:t xml:space="preserve">e-Gov era</w:t>
            </w:r>
          </w:p>
        </w:tc>
        <w:tc>
          <w:tcPr/>
          <w:p>
            <w:pPr>
              <w:pStyle w:val="Compact"/>
            </w:pPr>
            <w:r>
              <w:t xml:space="preserve">e-Payroll consolidates 26 federal payroll providers to 4; eOPF begins digitizing the paper personnel folder</w:t>
            </w:r>
          </w:p>
        </w:tc>
      </w:tr>
      <w:tr>
        <w:tc>
          <w:tcPr/>
          <w:p>
            <w:pPr>
              <w:pStyle w:val="Compact"/>
            </w:pPr>
            <w:r>
              <w:t xml:space="preserve">2004</w:t>
            </w:r>
          </w:p>
        </w:tc>
        <w:tc>
          <w:tcPr/>
          <w:p>
            <w:pPr>
              <w:pStyle w:val="Compact"/>
            </w:pPr>
            <w:r>
              <w:rPr>
                <w:b/>
                <w:bCs/>
              </w:rPr>
              <w:t xml:space="preserve">HR Line of Business</w:t>
            </w:r>
          </w:p>
        </w:tc>
        <w:tc>
          <w:tcPr/>
          <w:p>
            <w:pPr>
              <w:pStyle w:val="Compact"/>
            </w:pPr>
            <w:r>
              <w:t xml:space="preserve">OPM-led shared-services program; the federal HR business reference model; agency HR moves to shared service centers</w:t>
            </w:r>
          </w:p>
        </w:tc>
      </w:tr>
      <w:tr>
        <w:tc>
          <w:tcPr/>
          <w:p>
            <w:pPr>
              <w:pStyle w:val="Compact"/>
            </w:pPr>
            <w:r>
              <w:t xml:space="preserve">~2010</w:t>
            </w:r>
          </w:p>
        </w:tc>
        <w:tc>
          <w:tcPr/>
          <w:p>
            <w:pPr>
              <w:pStyle w:val="Compact"/>
            </w:pPr>
            <w:r>
              <w:rPr>
                <w:b/>
                <w:bCs/>
              </w:rPr>
              <w:t xml:space="preserve">EHRI</w:t>
            </w:r>
          </w:p>
        </w:tc>
        <w:tc>
          <w:tcPr/>
          <w:p>
            <w:pPr>
              <w:pStyle w:val="Compact"/>
            </w:pPr>
            <w:r>
              <w:t xml:space="preserve">Enterprise Human Resources Integration replaces CPDF — the government-wide HR data warehouse plus electronic OPF</w:t>
            </w:r>
          </w:p>
        </w:tc>
      </w:tr>
      <w:tr>
        <w:tc>
          <w:tcPr/>
          <w:p>
            <w:pPr>
              <w:pStyle w:val="Compact"/>
            </w:pPr>
            <w:r>
              <w:t xml:space="preserve">2019</w:t>
            </w:r>
          </w:p>
        </w:tc>
        <w:tc>
          <w:tcPr/>
          <w:p>
            <w:pPr>
              <w:pStyle w:val="Compact"/>
            </w:pPr>
            <w:r>
              <w:rPr>
                <w:b/>
                <w:bCs/>
              </w:rPr>
              <w:t xml:space="preserve">HR QSMO</w:t>
            </w:r>
          </w:p>
        </w:tc>
        <w:tc>
          <w:tcPr/>
          <w:p>
            <w:pPr>
              <w:pStyle w:val="Compact"/>
            </w:pPr>
            <w:r>
              <w:t xml:space="preserve">OMB M-19-16 designates OPM the HR Quality Services Management Office — standards owner and storefront</w:t>
            </w:r>
          </w:p>
        </w:tc>
      </w:tr>
      <w:tr>
        <w:tc>
          <w:tcPr/>
          <w:p>
            <w:pPr>
              <w:pStyle w:val="Compact"/>
            </w:pPr>
            <w:r>
              <w:t xml:space="preserve">2021</w:t>
            </w:r>
          </w:p>
        </w:tc>
        <w:tc>
          <w:tcPr/>
          <w:p>
            <w:pPr>
              <w:pStyle w:val="Compact"/>
            </w:pPr>
            <w:r>
              <w:rPr>
                <w:b/>
                <w:bCs/>
              </w:rPr>
              <w:t xml:space="preserve">QSMO marketplace</w:t>
            </w:r>
          </w:p>
        </w:tc>
        <w:tc>
          <w:tcPr/>
          <w:p>
            <w:pPr>
              <w:pStyle w:val="Compact"/>
            </w:pPr>
            <w:r>
              <w:t xml:space="preserve">The vetted HR IT catalog opens; agencies steered to standards-aligned shared solutions</w:t>
            </w:r>
          </w:p>
        </w:tc>
      </w:tr>
      <w:tr>
        <w:tc>
          <w:tcPr/>
          <w:p>
            <w:pPr>
              <w:pStyle w:val="Compact"/>
            </w:pPr>
            <w:r>
              <w:t xml:space="preserve">2026</w:t>
            </w:r>
          </w:p>
        </w:tc>
        <w:tc>
          <w:tcPr/>
          <w:p>
            <w:pPr>
              <w:pStyle w:val="Compact"/>
            </w:pPr>
            <w:r>
              <w:rPr>
                <w:b/>
                <w:bCs/>
              </w:rPr>
              <w:t xml:space="preserve">SaaS delivery</w:t>
            </w:r>
          </w:p>
        </w:tc>
        <w:tc>
          <w:tcPr/>
          <w:p>
            <w:pPr>
              <w:pStyle w:val="Compact"/>
            </w:pPr>
            <w:r>
              <w:t xml:space="preserve">OPM HRIT modernization delivers the HCM as SaaS (Oracle HCM Cloud, OCI) — the system-of-record feed this book builds 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hrit08"/>
          <w:p>
            <w:pPr>
              <w:pStyle w:val="Compact"/>
              <w:jc w:val="center"/>
            </w:pPr>
            <w:r>
              <w:drawing>
                <wp:inline>
                  <wp:extent cx="5334000" cy="3000375"/>
                  <wp:effectExtent b="0" l="0" r="0" t="0"/>
                  <wp:docPr descr="" title="" id="36" name="Picture"/>
                  <a:graphic>
                    <a:graphicData uri="http://schemas.openxmlformats.org/drawingml/2006/picture">
                      <pic:pic>
                        <pic:nvPicPr>
                          <pic:cNvPr descr="figs/hrit-fig-08-opm-hrit-timeline.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Five decades of consolidation — the OPM HRIT timeline</w:t>
            </w:r>
          </w:p>
          <w:bookmarkEnd w:id="38"/>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Draft-proposal caveat</w:t>
            </w:r>
            <w:r>
              <w:t xml:space="preserve"> </w:t>
            </w:r>
            <w:r>
              <w:t xml:space="preserve">— program milestones and vendor selections evolve; verify current OPM HRIT program status, marketplace offerings, and the deployed HCM platform at engagement time. The doctrine of this book is deliberately source-agnostic (see the provisioning pipeline below): if the deployed platform changes, the adapter changes and nothing else does.</w:t>
            </w:r>
          </w:p>
          <w:p/>
        </w:tc>
      </w:tr>
    </w:tbl>
    <w:bookmarkEnd w:id="41"/>
    <w:bookmarkEnd w:id="42"/>
    <w:bookmarkStart w:id="52" w:name="opm-hrit-as-the-system-of-record"/>
    <w:p>
      <w:pPr>
        <w:pStyle w:val="Heading1"/>
      </w:pPr>
      <w:r>
        <w:t xml:space="preserve">4. OPM HRIT as the System of Record</w:t>
      </w:r>
    </w:p>
    <w:bookmarkStart w:id="43" w:name="Xa1873eb4a1167556c476690d08b815773990656"/>
    <w:p>
      <w:pPr>
        <w:pStyle w:val="Heading2"/>
      </w:pPr>
      <w:r>
        <w:t xml:space="preserve">4.1 What a Human Capital System Actually Owns</w:t>
      </w:r>
    </w:p>
    <w:p>
      <w:pPr>
        <w:pStyle w:val="FirstParagraph"/>
      </w:pPr>
      <w:r>
        <w:t xml:space="preserve">The human capital platform — OPM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43"/>
    <w:bookmarkStart w:id="44" w:name="X3d3e9d1c8db61c7bae23b3aaba7f9f959ab63a4"/>
    <w:p>
      <w:pPr>
        <w:pStyle w:val="Heading2"/>
      </w:pPr>
      <w:r>
        <w:t xml:space="preserve">4.2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44"/>
    <w:bookmarkStart w:id="45" w:name="effective-dating-truth-with-a-timeline"/>
    <w:p>
      <w:pPr>
        <w:pStyle w:val="Heading2"/>
      </w:pPr>
      <w:r>
        <w:t xml:space="preserve">4.3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45"/>
    <w:bookmarkStart w:id="51" w:name="authoritative-versus-derived-attributes"/>
    <w:p>
      <w:pPr>
        <w:pStyle w:val="Heading2"/>
      </w:pPr>
      <w:r>
        <w:t xml:space="preserve">4.4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46">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50" w:name="fig-hrit03"/>
          <w:p>
            <w:pPr>
              <w:pStyle w:val="Compact"/>
              <w:jc w:val="center"/>
            </w:pPr>
            <w:r>
              <w:drawing>
                <wp:inline>
                  <wp:extent cx="5334000" cy="3000375"/>
                  <wp:effectExtent b="0" l="0" r="0" t="0"/>
                  <wp:docPr descr="" title="" id="48" name="Picture"/>
                  <a:graphic>
                    <a:graphicData uri="http://schemas.openxmlformats.org/drawingml/2006/picture">
                      <pic:pic>
                        <pic:nvPicPr>
                          <pic:cNvPr descr="figs/hrit-fig-03-attribute-authority-map.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attribute authority map — each identity attribute and the plane that owns it</w:t>
            </w:r>
          </w:p>
          <w:bookmarkEnd w:id="50"/>
        </w:tc>
      </w:tr>
    </w:tbl>
    <w:bookmarkEnd w:id="51"/>
    <w:bookmarkEnd w:id="52"/>
    <w:bookmarkStart w:id="83" w:name="the-identity-ssot"/>
    <w:p>
      <w:pPr>
        <w:pStyle w:val="Heading1"/>
      </w:pPr>
      <w:r>
        <w:t xml:space="preserve">5. The Identity SSOT</w:t>
      </w:r>
    </w:p>
    <w:bookmarkStart w:id="57" w:name="the-lifecycle-is-an-event-stream"/>
    <w:p>
      <w:pPr>
        <w:pStyle w:val="Heading2"/>
      </w:pPr>
      <w:r>
        <w:t xml:space="preserve">5.1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hrit02"/>
          <w:p>
            <w:pPr>
              <w:pStyle w:val="Compact"/>
              <w:jc w:val="center"/>
            </w:pPr>
            <w:r>
              <w:drawing>
                <wp:inline>
                  <wp:extent cx="5334000" cy="3000375"/>
                  <wp:effectExtent b="0" l="0" r="0" t="0"/>
                  <wp:docPr descr="" title="" id="54" name="Picture"/>
                  <a:graphic>
                    <a:graphicData uri="http://schemas.openxmlformats.org/drawingml/2006/picture">
                      <pic:pic>
                        <pic:nvPicPr>
                          <pic:cNvPr descr="figs/hrit-fig-02-jml-event-flow.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joiner-mover-leaver event flow from HR record to identity action</w:t>
            </w:r>
          </w:p>
          <w:bookmarkEnd w:id="56"/>
        </w:tc>
      </w:tr>
    </w:tbl>
    <w:bookmarkEnd w:id="57"/>
    <w:bookmarkStart w:id="62" w:name="X448f77dc5d62c73b880d5374cd77a9bd610a269"/>
    <w:p>
      <w:pPr>
        <w:pStyle w:val="Heading2"/>
      </w:pPr>
      <w:r>
        <w:t xml:space="preserve">5.2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tbl>
      <w:tblPr>
        <w:tblStyle w:val="Table"/>
        <w:tblW w:type="pct" w:w="5000"/>
        <w:tblLayout w:type="fixed"/>
        <w:tblLook w:firstRow="0" w:lastRow="0" w:firstColumn="0" w:lastColumn="0" w:noHBand="0" w:noVBand="0" w:val="0000"/>
      </w:tblPr>
      <w:tblGrid>
        <w:gridCol w:w="7920"/>
      </w:tblGrid>
      <w:tr>
        <w:tc>
          <w:tcPr/>
          <w:bookmarkStart w:id="61" w:name="fig-hrit06"/>
          <w:p>
            <w:pPr>
              <w:pStyle w:val="Compact"/>
              <w:jc w:val="center"/>
            </w:pPr>
            <w:r>
              <w:drawing>
                <wp:inline>
                  <wp:extent cx="5334000" cy="3000375"/>
                  <wp:effectExtent b="0" l="0" r="0" t="0"/>
                  <wp:docPr descr="" title="" id="59" name="Picture"/>
                  <a:graphic>
                    <a:graphicData uri="http://schemas.openxmlformats.org/drawingml/2006/picture">
                      <pic:pic>
                        <pic:nvPicPr>
                          <pic:cNvPr descr="figs/hrit-fig-06-provisioning-pipeline.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inbound provisioning pipeline — one entry point, one provenance stream</w:t>
            </w:r>
          </w:p>
          <w:bookmarkEnd w:id="61"/>
        </w:tc>
      </w:tr>
    </w:tbl>
    <w:bookmarkEnd w:id="62"/>
    <w:bookmarkStart w:id="74" w:name="X89d02ff16666179b320faadd3540262498aee5e"/>
    <w:p>
      <w:pPr>
        <w:pStyle w:val="Heading2"/>
      </w:pPr>
      <w:r>
        <w:t xml:space="preserve">5.3 Microsoft’s HR-Driven Provisioning: Two Landing Zones</w:t>
      </w:r>
    </w:p>
    <w:p>
      <w:pPr>
        <w:pStyle w:val="FirstParagraph"/>
      </w:pPr>
      <w:r>
        <w:t xml:space="preserve">The pattern this book describes has a first-party name in the Microsoft documentation:</w:t>
      </w:r>
      <w:r>
        <w:t xml:space="preserve"> </w:t>
      </w:r>
      <w:r>
        <w:rPr>
          <w:b/>
          <w:bCs/>
        </w:rPr>
        <w:t xml:space="preserve">HR-driven provisioning</w:t>
      </w:r>
      <w:r>
        <w:t xml:space="preserve">. Awareness of this cannot be assumed, so it is worth stating plainly — the architecture above is not custom middleware glue. Microsoft ships it as a generally available, documented feature family in which the HR system is the start-of-authority for identity lifecycle and the Entra provisioning service carries its records into the directory targets.</w:t>
      </w:r>
    </w:p>
    <w:p>
      <w:pPr>
        <w:pStyle w:val="BodyText"/>
      </w:pPr>
      <w:r>
        <w:t xml:space="preserve">Two on-ramps exist: prebuilt cloud-HR connectors (Workday, SAP SuccessFactors), and the</w:t>
      </w:r>
      <w:r>
        <w:t xml:space="preserve"> </w:t>
      </w:r>
      <w:r>
        <w:rPr>
          <w:b/>
          <w:bCs/>
        </w:rPr>
        <w:t xml:space="preserve">API-driven inbound provisioning</w:t>
      </w:r>
      <w:r>
        <w:t xml:space="preserve"> </w:t>
      </w:r>
      <w:r>
        <w:t xml:space="preserve">path — the Graph</w:t>
      </w:r>
      <w:r>
        <w:t xml:space="preserve"> </w:t>
      </w:r>
      <w:r>
        <w:rPr>
          <w:rStyle w:val="VerbatimChar"/>
        </w:rPr>
        <w:t xml:space="preserve">bulkUpload</w:t>
      </w:r>
      <w:r>
        <w:t xml:space="preserve"> </w:t>
      </w:r>
      <w:r>
        <w:t xml:space="preserve">endpoint accepting SCIM 2.0 payloads — which is source-agnostic and is the canonical Spec2-D3.1 architecture above. In both cases the provisioning service applies</w:t>
      </w:r>
      <w:r>
        <w:t xml:space="preserve"> </w:t>
      </w:r>
      <w:r>
        <w:rPr>
          <w:b/>
          <w:bCs/>
        </w:rPr>
        <w:t xml:space="preserve">scoping filters</w:t>
      </w:r>
      <w:r>
        <w:t xml:space="preserve"> </w:t>
      </w:r>
      <w:r>
        <w:t xml:space="preserve">(who provisions at all) and</w:t>
      </w:r>
      <w:r>
        <w:t xml:space="preserve"> </w:t>
      </w:r>
      <w:r>
        <w:rPr>
          <w:b/>
          <w:bCs/>
        </w:rPr>
        <w:t xml:space="preserve">expression-based attribute mappings</w:t>
      </w:r>
      <w:r>
        <w:t xml:space="preserve"> </w:t>
      </w:r>
      <w:r>
        <w:t xml:space="preserve">(how HR fields become directory attributes).</w:t>
      </w:r>
    </w:p>
    <w:p>
      <w:pPr>
        <w:pStyle w:val="BodyText"/>
      </w:pPr>
      <w:r>
        <w:t xml:space="preserve">The consequential fact for a coexisting estate: the same HR feed can land in</w:t>
      </w:r>
      <w:r>
        <w:t xml:space="preserve"> </w:t>
      </w:r>
      <w:r>
        <w:rPr>
          <w:b/>
          <w:bCs/>
        </w:rPr>
        <w:t xml:space="preserve">two different zones</w:t>
      </w:r>
      <w:r>
        <w:t xml:space="preserve">, separately or simultaneously —</w:t>
      </w:r>
    </w:p>
    <w:p>
      <w:pPr>
        <w:pStyle w:val="Compact"/>
        <w:numPr>
          <w:ilvl w:val="0"/>
          <w:numId w:val="1006"/>
        </w:numPr>
      </w:pPr>
      <w:r>
        <w:rPr>
          <w:b/>
          <w:bCs/>
        </w:rPr>
        <w:t xml:space="preserve">API-driven inbound provisioning to Entra ID</w:t>
      </w:r>
      <w:r>
        <w:t xml:space="preserve"> </w:t>
      </w:r>
      <w:r>
        <w:t xml:space="preserve">writes users directly in the cloud directory.</w:t>
      </w:r>
    </w:p>
    <w:p>
      <w:pPr>
        <w:pStyle w:val="Compact"/>
        <w:numPr>
          <w:ilvl w:val="0"/>
          <w:numId w:val="1006"/>
        </w:numPr>
      </w:pPr>
      <w:r>
        <w:rPr>
          <w:b/>
          <w:bCs/>
        </w:rPr>
        <w:t xml:space="preserve">API-driven inbound provisioning to on-premises Active Directory</w:t>
      </w:r>
      <w:r>
        <w:t xml:space="preserve"> </w:t>
      </w:r>
      <w:r>
        <w:t xml:space="preserve">delivers the same payloads through Entra provisioning agents (deploy three for high availability) that write to AD DS.</w:t>
      </w:r>
    </w:p>
    <w:tbl>
      <w:tblPr>
        <w:tblStyle w:val="Table"/>
        <w:tblW w:type="pct" w:w="5000"/>
        <w:tblLayout w:type="fixed"/>
        <w:tblLook w:firstRow="0" w:lastRow="0" w:firstColumn="0" w:lastColumn="0" w:noHBand="0" w:noVBand="0" w:val="0000"/>
      </w:tblPr>
      <w:tblGrid>
        <w:gridCol w:w="7920"/>
      </w:tblGrid>
      <w:tr>
        <w:tc>
          <w:tcPr/>
          <w:bookmarkStart w:id="66" w:name="fig-hrit09"/>
          <w:p>
            <w:pPr>
              <w:pStyle w:val="Compact"/>
              <w:jc w:val="center"/>
            </w:pPr>
            <w:r>
              <w:drawing>
                <wp:inline>
                  <wp:extent cx="5334000" cy="3000375"/>
                  <wp:effectExtent b="0" l="0" r="0" t="0"/>
                  <wp:docPr descr="" title="" id="64" name="Picture"/>
                  <a:graphic>
                    <a:graphicData uri="http://schemas.openxmlformats.org/drawingml/2006/picture">
                      <pic:pic>
                        <pic:nvPicPr>
                          <pic:cNvPr descr="figs/hrit-fig-09-hr-driven-two-landing-zones.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Microsoft HR-driven provisioning — one feed, two landing zones</w:t>
            </w:r>
          </w:p>
          <w:bookmarkEnd w:id="66"/>
        </w:tc>
      </w:tr>
    </w:tbl>
    <w:bookmarkStart w:id="67" w:name="X64287e9570b50060c27b66bd44259040c300cdc"/>
    <w:p>
      <w:pPr>
        <w:pStyle w:val="Heading3"/>
      </w:pPr>
      <w:r>
        <w:t xml:space="preserve">5.3.1 Landing in Active Directory: Containers and the Manager Chain</w:t>
      </w:r>
    </w:p>
    <w:p>
      <w:pPr>
        <w:pStyle w:val="FirstParagraph"/>
      </w:pPr>
      <w:r>
        <w:t xml:space="preserve">Most of the estate still lives in on-premises AD, so the AD landing zone deserves detail. Four mechanics:</w:t>
      </w:r>
    </w:p>
    <w:p>
      <w:pPr>
        <w:pStyle w:val="Compact"/>
        <w:numPr>
          <w:ilvl w:val="0"/>
          <w:numId w:val="1007"/>
        </w:numPr>
      </w:pPr>
      <w:r>
        <w:rPr>
          <w:b/>
          <w:bCs/>
        </w:rPr>
        <w:t xml:space="preserve">Where the account lands — the OU is computed, not hand-picked.</w:t>
      </w:r>
      <w:r>
        <w:t xml:space="preserve"> </w:t>
      </w:r>
      <w:r>
        <w:t xml:space="preserve">The</w:t>
      </w:r>
      <w:r>
        <w:t xml:space="preserve"> </w:t>
      </w:r>
      <w:r>
        <w:rPr>
          <w:rStyle w:val="VerbatimChar"/>
        </w:rPr>
        <w:t xml:space="preserve">parentDistinguishedName</w:t>
      </w:r>
      <w:r>
        <w:t xml:space="preserve"> </w:t>
      </w:r>
      <w:r>
        <w:t xml:space="preserve">attribute mapping derives the destination container from HR attributes; Microsoft’s planning guidance shows expression rules (a</w:t>
      </w:r>
      <w:r>
        <w:t xml:space="preserve"> </w:t>
      </w:r>
      <w:r>
        <w:rPr>
          <w:rStyle w:val="VerbatimChar"/>
        </w:rPr>
        <w:t xml:space="preserve">Switch</w:t>
      </w:r>
      <w:r>
        <w:t xml:space="preserve"> </w:t>
      </w:r>
      <w:r>
        <w:t xml:space="preserve">over department or location) selecting the OU. Placement by rule ends the drag-and-drop tradition that produced the twelve drifted regional trees.</w:t>
      </w:r>
    </w:p>
    <w:p>
      <w:pPr>
        <w:pStyle w:val="Compact"/>
        <w:numPr>
          <w:ilvl w:val="0"/>
          <w:numId w:val="1007"/>
        </w:numPr>
      </w:pPr>
      <w:r>
        <w:rPr>
          <w:b/>
          <w:bCs/>
        </w:rPr>
        <w:t xml:space="preserve">The reporting line becomes a queryable chain.</w:t>
      </w:r>
      <w:r>
        <w:t xml:space="preserve"> </w:t>
      </w:r>
      <w:r>
        <w:t xml:space="preserve">The provisioning service resolves the supervisor by</w:t>
      </w:r>
      <w:r>
        <w:t xml:space="preserve"> </w:t>
      </w:r>
      <w:r>
        <w:rPr>
          <w:rStyle w:val="VerbatimChar"/>
        </w:rPr>
        <w:t xml:space="preserve">employeeId</w:t>
      </w:r>
      <w:r>
        <w:t xml:space="preserve"> </w:t>
      </w:r>
      <w:r>
        <w:t xml:space="preserve">match against already-provisioned users and writes AD’s</w:t>
      </w:r>
      <w:r>
        <w:t xml:space="preserve"> </w:t>
      </w:r>
      <w:r>
        <w:rPr>
          <w:rStyle w:val="VerbatimChar"/>
        </w:rPr>
        <w:t xml:space="preserve">manager</w:t>
      </w:r>
      <w:r>
        <w:t xml:space="preserve"> </w:t>
      </w:r>
      <w:r>
        <w:t xml:space="preserve">attribute as a DN reference. Exchange, the address book, and approval tooling read that chain; manager updates flow on mover events.</w:t>
      </w:r>
    </w:p>
    <w:p>
      <w:pPr>
        <w:pStyle w:val="Compact"/>
        <w:numPr>
          <w:ilvl w:val="0"/>
          <w:numId w:val="1007"/>
        </w:numPr>
      </w:pPr>
      <w:r>
        <w:rPr>
          <w:b/>
          <w:bCs/>
        </w:rPr>
        <w:t xml:space="preserve">The attribute surface carries the worker record.</w:t>
      </w:r>
      <w:r>
        <w:t xml:space="preserve"> </w:t>
      </w:r>
      <w:r>
        <w:rPr>
          <w:rStyle w:val="VerbatimChar"/>
        </w:rPr>
        <w:t xml:space="preserve">department</w:t>
      </w:r>
      <w:r>
        <w:t xml:space="preserve">,</w:t>
      </w:r>
      <w:r>
        <w:t xml:space="preserve"> </w:t>
      </w:r>
      <w:r>
        <w:rPr>
          <w:rStyle w:val="VerbatimChar"/>
        </w:rPr>
        <w:t xml:space="preserve">title</w:t>
      </w:r>
      <w:r>
        <w:t xml:space="preserve">,</w:t>
      </w:r>
      <w:r>
        <w:t xml:space="preserve"> </w:t>
      </w:r>
      <w:r>
        <w:rPr>
          <w:rStyle w:val="VerbatimChar"/>
        </w:rPr>
        <w:t xml:space="preserve">division</w:t>
      </w:r>
      <w:r>
        <w:t xml:space="preserve">,</w:t>
      </w:r>
      <w:r>
        <w:t xml:space="preserve"> </w:t>
      </w:r>
      <w:r>
        <w:rPr>
          <w:rStyle w:val="VerbatimChar"/>
        </w:rPr>
        <w:t xml:space="preserve">company</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 and</w:t>
      </w:r>
      <w:r>
        <w:t xml:space="preserve"> </w:t>
      </w:r>
      <w:r>
        <w:rPr>
          <w:rStyle w:val="VerbatimChar"/>
        </w:rPr>
        <w:t xml:space="preserve">extensionAttributes</w:t>
      </w:r>
      <w:r>
        <w:t xml:space="preserve"> </w:t>
      </w:r>
      <w:r>
        <w:t xml:space="preserve">project the worker record into AD; scoping filters exclude populations that should not provision, and expressions construct UPNs and display names consistently.</w:t>
      </w:r>
    </w:p>
    <w:p>
      <w:pPr>
        <w:pStyle w:val="Compact"/>
        <w:numPr>
          <w:ilvl w:val="0"/>
          <w:numId w:val="1007"/>
        </w:numPr>
      </w:pPr>
      <w:r>
        <w:rPr>
          <w:b/>
          <w:bCs/>
        </w:rPr>
        <w:t xml:space="preserve">The operational floor.</w:t>
      </w:r>
      <w:r>
        <w:t xml:space="preserve"> </w:t>
      </w:r>
      <w:r>
        <w:t xml:space="preserve">Entra provisioning agents — three, for high availability, per the verified envelope above — perform the AD DS writes from inside the agency network. Accounts enable on the hire date and disable on the leave date: effective dating flows all the way down to the domain controller.</w:t>
      </w:r>
    </w:p>
    <w:p>
      <w:pPr>
        <w:pStyle w:val="FirstParagraph"/>
      </w:pPr>
      <w:r>
        <w:t xml:space="preserve">The caveat that motivates the rest of this book:</w:t>
      </w:r>
      <w:r>
        <w:t xml:space="preserve"> </w:t>
      </w:r>
      <w:r>
        <w:rPr>
          <w:b/>
          <w:bCs/>
        </w:rPr>
        <w:t xml:space="preserve">AD stores structure as</w:t>
      </w:r>
      <w:r>
        <w:rPr>
          <w:b/>
          <w:bCs/>
        </w:rPr>
        <w:t xml:space="preserve"> </w:t>
      </w:r>
      <w:r>
        <w:rPr>
          <w:b/>
          <w:bCs/>
          <w:i/>
          <w:iCs/>
        </w:rPr>
        <w:t xml:space="preserve">place</w:t>
      </w:r>
      <w:r>
        <w:rPr>
          <w:b/>
          <w:bCs/>
        </w:rPr>
        <w:t xml:space="preserve">.</w:t>
      </w:r>
      <w:r>
        <w:t xml:space="preserve"> </w:t>
      </w:r>
      <w:r>
        <w:t xml:space="preserve">An OU is a container, and Group Policy that reads OU position inherits every reorganization. HR-driven provisioning keeps AD</w:t>
      </w:r>
      <w:r>
        <w:t xml:space="preserve"> </w:t>
      </w:r>
      <w:r>
        <w:rPr>
          <w:i/>
          <w:iCs/>
        </w:rPr>
        <w:t xml:space="preserve">correct</w:t>
      </w:r>
      <w:r>
        <w:t xml:space="preserve">; it cannot make AD’s model attribute-native.</w:t>
      </w:r>
    </w:p>
    <w:bookmarkEnd w:id="67"/>
    <w:bookmarkStart w:id="68" w:name="Xc6f713758aeaa4bc20ff810450d692d0c1d8820"/>
    <w:p>
      <w:pPr>
        <w:pStyle w:val="Heading3"/>
      </w:pPr>
      <w:r>
        <w:t xml:space="preserve">5.3.2 Landing in Entra ID: Attributes, Not Containers</w:t>
      </w:r>
    </w:p>
    <w:p>
      <w:pPr>
        <w:pStyle w:val="FirstParagraph"/>
      </w:pPr>
      <w:r>
        <w:t xml:space="preserve">Entra ID has no OUs. The worker record lands as</w:t>
      </w:r>
      <w:r>
        <w:t xml:space="preserve"> </w:t>
      </w:r>
      <w:r>
        <w:rPr>
          <w:b/>
          <w:bCs/>
        </w:rPr>
        <w:t xml:space="preserve">first-class attributes</w:t>
      </w:r>
      <w:r>
        <w:t xml:space="preserve">, and organizational structure becomes data:</w:t>
      </w:r>
    </w:p>
    <w:p>
      <w:pPr>
        <w:pStyle w:val="Compact"/>
        <w:numPr>
          <w:ilvl w:val="0"/>
          <w:numId w:val="1008"/>
        </w:numPr>
      </w:pPr>
      <w:r>
        <w:rPr>
          <w:b/>
          <w:bCs/>
        </w:rPr>
        <w:t xml:space="preserve">The attribute surface.</w:t>
      </w:r>
      <w:r>
        <w:t xml:space="preserve"> </w:t>
      </w:r>
      <w:r>
        <w:rPr>
          <w:rStyle w:val="VerbatimChar"/>
        </w:rPr>
        <w:t xml:space="preserve">manager</w:t>
      </w:r>
      <w:r>
        <w:t xml:space="preserve"> </w:t>
      </w:r>
      <w:r>
        <w:t xml:space="preserve">(a directory</w:t>
      </w:r>
      <w:r>
        <w:t xml:space="preserve"> </w:t>
      </w:r>
      <w:r>
        <w:rPr>
          <w:i/>
          <w:iCs/>
        </w:rPr>
        <w:t xml:space="preserve">relationship</w:t>
      </w:r>
      <w:r>
        <w:t xml:space="preserve">, not a string — it powers the organization chart in Teams and Outlook profile cards),</w:t>
      </w:r>
      <w:r>
        <w:t xml:space="preserve"> </w:t>
      </w:r>
      <w:r>
        <w:rPr>
          <w:rStyle w:val="VerbatimChar"/>
        </w:rPr>
        <w:t xml:space="preserve">department</w:t>
      </w:r>
      <w:r>
        <w:t xml:space="preserve">,</w:t>
      </w:r>
      <w:r>
        <w:t xml:space="preserve"> </w:t>
      </w:r>
      <w:r>
        <w:rPr>
          <w:rStyle w:val="VerbatimChar"/>
        </w:rPr>
        <w:t xml:space="preserve">jobTitle</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w:t>
      </w:r>
      <w:r>
        <w:t xml:space="preserve"> </w:t>
      </w:r>
      <w:r>
        <w:rPr>
          <w:rStyle w:val="VerbatimChar"/>
        </w:rPr>
        <w:t xml:space="preserve">employeeHireDate</w:t>
      </w:r>
      <w:r>
        <w:t xml:space="preserve"> </w:t>
      </w:r>
      <w:r>
        <w:t xml:space="preserve">/</w:t>
      </w:r>
      <w:r>
        <w:t xml:space="preserve"> </w:t>
      </w:r>
      <w:r>
        <w:rPr>
          <w:rStyle w:val="VerbatimChar"/>
        </w:rPr>
        <w:t xml:space="preserve">employeeLeaveDateTime</w:t>
      </w:r>
      <w:r>
        <w:t xml:space="preserve">, and</w:t>
      </w:r>
      <w:r>
        <w:t xml:space="preserve"> </w:t>
      </w:r>
      <w:r>
        <w:rPr>
          <w:rStyle w:val="VerbatimChar"/>
        </w:rPr>
        <w:t xml:space="preserve">employeeOrgData</w:t>
      </w:r>
      <w:r>
        <w:t xml:space="preserve"> </w:t>
      </w:r>
      <w:r>
        <w:t xml:space="preserve">with</w:t>
      </w:r>
      <w:r>
        <w:t xml:space="preserve"> </w:t>
      </w:r>
      <w:r>
        <w:rPr>
          <w:rStyle w:val="VerbatimChar"/>
        </w:rPr>
        <w:t xml:space="preserve">costCenter</w:t>
      </w:r>
      <w:r>
        <w:t xml:space="preserve"> </w:t>
      </w:r>
      <w:r>
        <w:t xml:space="preserve">and</w:t>
      </w:r>
      <w:r>
        <w:t xml:space="preserve"> </w:t>
      </w:r>
      <w:r>
        <w:rPr>
          <w:rStyle w:val="VerbatimChar"/>
        </w:rPr>
        <w:t xml:space="preserve">division</w:t>
      </w:r>
      <w:r>
        <w:t xml:space="preserve">. The attribute authority map earlier in this book, realized in Microsoft’s own schema.</w:t>
      </w:r>
    </w:p>
    <w:p>
      <w:pPr>
        <w:pStyle w:val="Compact"/>
        <w:numPr>
          <w:ilvl w:val="0"/>
          <w:numId w:val="1008"/>
        </w:numPr>
      </w:pPr>
      <w:r>
        <w:rPr>
          <w:b/>
          <w:bCs/>
        </w:rPr>
        <w:t xml:space="preserve">Structure becomes computation.</w:t>
      </w:r>
      <w:r>
        <w:t xml:space="preserve"> </w:t>
      </w:r>
      <w:r>
        <w:t xml:space="preserve">Dynamic membership rules evaluate those attributes continuously — nobody joins a group and nobody forgets to leave one. Access packages route approvals to the</w:t>
      </w:r>
      <w:r>
        <w:t xml:space="preserve"> </w:t>
      </w:r>
      <w:r>
        <w:rPr>
          <w:rStyle w:val="VerbatimChar"/>
        </w:rPr>
        <w:t xml:space="preserve">manager</w:t>
      </w:r>
      <w:r>
        <w:t xml:space="preserve"> </w:t>
      </w:r>
      <w:r>
        <w:t xml:space="preserve">relationship (the supervisor of record). Administrative units scope delegated administration by attribute — the OU’s one legitimate remaining job, reimplemented without making policy read a container path.</w:t>
      </w:r>
    </w:p>
    <w:p>
      <w:pPr>
        <w:pStyle w:val="Compact"/>
        <w:numPr>
          <w:ilvl w:val="0"/>
          <w:numId w:val="1008"/>
        </w:numPr>
      </w:pPr>
      <w:r>
        <w:rPr>
          <w:b/>
          <w:bCs/>
        </w:rPr>
        <w:t xml:space="preserve">Lifecycle is platform-native.</w:t>
      </w:r>
      <w:r>
        <w:t xml:space="preserve"> </w:t>
      </w:r>
      <w:r>
        <w:t xml:space="preserve">Entra Lifecycle Workflows trigger directly off</w:t>
      </w:r>
      <w:r>
        <w:t xml:space="preserve"> </w:t>
      </w:r>
      <w:r>
        <w:rPr>
          <w:rStyle w:val="VerbatimChar"/>
        </w:rPr>
        <w:t xml:space="preserve">employeeHireDate</w:t>
      </w:r>
      <w:r>
        <w:t xml:space="preserve"> </w:t>
      </w:r>
      <w:r>
        <w:t xml:space="preserve">and</w:t>
      </w:r>
      <w:r>
        <w:t xml:space="preserve"> </w:t>
      </w:r>
      <w:r>
        <w:rPr>
          <w:rStyle w:val="VerbatimChar"/>
        </w:rPr>
        <w:t xml:space="preserve">employeeLeaveDateTime</w:t>
      </w:r>
      <w:r>
        <w:t xml:space="preserve">: pre-hire onboarding, day-one enablement, and leaver revocation run as first-class platform features keyed to the HR effective dates — not as scheduled scripts someone maintains.</w:t>
      </w:r>
    </w:p>
    <w:p>
      <w:pPr>
        <w:pStyle w:val="FirstParagraph"/>
      </w:pPr>
      <w:r>
        <w:t xml:space="preserve">The visible payoff for every employee: the org chart in Teams and Outlook stops being decorative. When</w:t>
      </w:r>
      <w:r>
        <w:t xml:space="preserve"> </w:t>
      </w:r>
      <w:r>
        <w:rPr>
          <w:rStyle w:val="VerbatimChar"/>
        </w:rPr>
        <w:t xml:space="preserve">manager</w:t>
      </w:r>
      <w:r>
        <w:t xml:space="preserve"> </w:t>
      </w:r>
      <w:r>
        <w:t xml:space="preserve">and</w:t>
      </w:r>
      <w:r>
        <w:t xml:space="preserve"> </w:t>
      </w:r>
      <w:r>
        <w:rPr>
          <w:rStyle w:val="VerbatimChar"/>
        </w:rPr>
        <w:t xml:space="preserve">employeeOrgData</w:t>
      </w:r>
      <w:r>
        <w:t xml:space="preserve"> </w:t>
      </w:r>
      <w:r>
        <w:t xml:space="preserve">derive from the HR record, the profile card</w:t>
      </w:r>
      <w:r>
        <w:t xml:space="preserve"> </w:t>
      </w:r>
      <w:r>
        <w:rPr>
          <w:i/>
          <w:iCs/>
        </w:rPr>
        <w:t xml:space="preserve">is</w:t>
      </w:r>
      <w:r>
        <w:t xml:space="preserve"> </w:t>
      </w:r>
      <w:r>
        <w:t xml:space="preserve">the supervisory org — the same truth that routes approvals and computes access.</w:t>
      </w:r>
    </w:p>
    <w:bookmarkEnd w:id="68"/>
    <w:bookmarkStart w:id="73" w:name="Xf4489a52d9758d07ba07482e24807dcee1b7ecf"/>
    <w:p>
      <w:pPr>
        <w:pStyle w:val="Heading3"/>
      </w:pPr>
      <w:r>
        <w:t xml:space="preserve">5.3.3 Absorbing Organizational and Reporting Structure: AD versus Entra ID</w:t>
      </w:r>
    </w:p>
    <w:p>
      <w:pPr>
        <w:pStyle w:val="TableCaption"/>
      </w:pPr>
      <w:r>
        <w:t xml:space="preserve">Absorbing organizational and reporting structure — AD versus Entra ID</w:t>
      </w:r>
    </w:p>
    <w:tbl>
      <w:tblPr>
        <w:tblStyle w:val="Table"/>
        <w:tblW w:type="pct" w:w="5000"/>
        <w:tblLayout w:type="fixed"/>
        <w:tblLook w:firstRow="1" w:lastRow="0" w:firstColumn="0" w:lastColumn="0" w:noHBand="0" w:noVBand="0" w:val="0020"/>
        <w:tblCaption w:val="Absorbing organizational and reporting structure — AD versus Entra ID"/>
      </w:tblPr>
      <w:tblGrid>
        <w:gridCol w:w="2640"/>
        <w:gridCol w:w="2640"/>
        <w:gridCol w:w="2640"/>
      </w:tblGrid>
      <w:tr>
        <w:trPr>
          <w:tblHeader w:val="on"/>
        </w:trPr>
        <w:tc>
          <w:tcPr/>
          <w:p>
            <w:pPr>
              <w:pStyle w:val="Compact"/>
            </w:pPr>
            <w:r>
              <w:t xml:space="preserve">Dimension</w:t>
            </w:r>
          </w:p>
        </w:tc>
        <w:tc>
          <w:tcPr/>
          <w:p>
            <w:pPr>
              <w:pStyle w:val="Compact"/>
            </w:pPr>
            <w:r>
              <w:t xml:space="preserve">Active Directory</w:t>
            </w:r>
          </w:p>
        </w:tc>
        <w:tc>
          <w:tcPr/>
          <w:p>
            <w:pPr>
              <w:pStyle w:val="Compact"/>
            </w:pPr>
            <w:r>
              <w:t xml:space="preserve">Entra ID</w:t>
            </w:r>
          </w:p>
        </w:tc>
      </w:tr>
      <w:tr>
        <w:tc>
          <w:tcPr/>
          <w:p>
            <w:pPr>
              <w:pStyle w:val="Compact"/>
            </w:pPr>
            <w:r>
              <w:t xml:space="preserve">Structural container</w:t>
            </w:r>
          </w:p>
        </w:tc>
        <w:tc>
          <w:tcPr/>
          <w:p>
            <w:pPr>
              <w:pStyle w:val="Compact"/>
            </w:pPr>
            <w:r>
              <w:t xml:space="preserve">OU tree — structure as</w:t>
            </w:r>
            <w:r>
              <w:t xml:space="preserve"> </w:t>
            </w:r>
            <w:r>
              <w:rPr>
                <w:i/>
                <w:iCs/>
              </w:rPr>
              <w:t xml:space="preserve">place</w:t>
            </w:r>
            <w:r>
              <w:t xml:space="preserve">; GPO reads position</w:t>
            </w:r>
          </w:p>
        </w:tc>
        <w:tc>
          <w:tcPr/>
          <w:p>
            <w:pPr>
              <w:pStyle w:val="Compact"/>
            </w:pPr>
            <w:r>
              <w:t xml:space="preserve">None — structure as</w:t>
            </w:r>
            <w:r>
              <w:t xml:space="preserve"> </w:t>
            </w:r>
            <w:r>
              <w:rPr>
                <w:i/>
                <w:iCs/>
              </w:rPr>
              <w:t xml:space="preserve">attributes</w:t>
            </w:r>
            <w:r>
              <w:t xml:space="preserve">; policy reads claims and groups</w:t>
            </w:r>
          </w:p>
        </w:tc>
      </w:tr>
      <w:tr>
        <w:tc>
          <w:tcPr/>
          <w:p>
            <w:pPr>
              <w:pStyle w:val="Compact"/>
            </w:pPr>
            <w:r>
              <w:t xml:space="preserve">Reporting line</w:t>
            </w:r>
          </w:p>
        </w:tc>
        <w:tc>
          <w:tcPr/>
          <w:p>
            <w:pPr>
              <w:pStyle w:val="Compact"/>
            </w:pPr>
            <w:r>
              <w:rPr>
                <w:rStyle w:val="VerbatimChar"/>
              </w:rPr>
              <w:t xml:space="preserve">manager</w:t>
            </w:r>
            <w:r>
              <w:t xml:space="preserve"> </w:t>
            </w:r>
            <w:r>
              <w:t xml:space="preserve">DN reference — Exchange, address book</w:t>
            </w:r>
          </w:p>
        </w:tc>
        <w:tc>
          <w:tcPr/>
          <w:p>
            <w:pPr>
              <w:pStyle w:val="Compact"/>
            </w:pPr>
            <w:r>
              <w:rPr>
                <w:rStyle w:val="VerbatimChar"/>
              </w:rPr>
              <w:t xml:space="preserve">manager</w:t>
            </w:r>
            <w:r>
              <w:t xml:space="preserve"> </w:t>
            </w:r>
            <w:r>
              <w:t xml:space="preserve">relationship — org chart in Teams/Outlook, approval routing</w:t>
            </w:r>
          </w:p>
        </w:tc>
      </w:tr>
      <w:tr>
        <w:tc>
          <w:tcPr/>
          <w:p>
            <w:pPr>
              <w:pStyle w:val="Compact"/>
            </w:pPr>
            <w:r>
              <w:t xml:space="preserve">Org placement</w:t>
            </w:r>
          </w:p>
        </w:tc>
        <w:tc>
          <w:tcPr/>
          <w:p>
            <w:pPr>
              <w:pStyle w:val="Compact"/>
            </w:pPr>
            <w:r>
              <w:t xml:space="preserve">OU computed at provisioning (</w:t>
            </w:r>
            <w:r>
              <w:rPr>
                <w:rStyle w:val="VerbatimChar"/>
              </w:rPr>
              <w:t xml:space="preserve">parentDistinguishedName</w:t>
            </w:r>
            <w:r>
              <w:t xml:space="preserve">)</w:t>
            </w:r>
          </w:p>
        </w:tc>
        <w:tc>
          <w:tcPr/>
          <w:p>
            <w:pPr>
              <w:pStyle w:val="Compact"/>
            </w:pPr>
            <w:r>
              <w:rPr>
                <w:rStyle w:val="VerbatimChar"/>
              </w:rPr>
              <w:t xml:space="preserve">employeeOrgData</w:t>
            </w:r>
            <w:r>
              <w:t xml:space="preserve"> </w:t>
            </w:r>
            <w:r>
              <w:t xml:space="preserve">(division, costCenter) +</w:t>
            </w:r>
            <w:r>
              <w:t xml:space="preserve"> </w:t>
            </w:r>
            <w:r>
              <w:rPr>
                <w:rStyle w:val="VerbatimChar"/>
              </w:rPr>
              <w:t xml:space="preserve">department</w:t>
            </w:r>
            <w:r>
              <w:t xml:space="preserve">, stamped</w:t>
            </w:r>
          </w:p>
        </w:tc>
      </w:tr>
      <w:tr>
        <w:tc>
          <w:tcPr/>
          <w:p>
            <w:pPr>
              <w:pStyle w:val="Compact"/>
            </w:pPr>
            <w:r>
              <w:t xml:space="preserve">Membership</w:t>
            </w:r>
          </w:p>
        </w:tc>
        <w:tc>
          <w:tcPr/>
          <w:p>
            <w:pPr>
              <w:pStyle w:val="Compact"/>
            </w:pPr>
            <w:r>
              <w:t xml:space="preserve">Static groups, nesting, manual or scripted</w:t>
            </w:r>
          </w:p>
        </w:tc>
        <w:tc>
          <w:tcPr/>
          <w:p>
            <w:pPr>
              <w:pStyle w:val="Compact"/>
            </w:pPr>
            <w:r>
              <w:t xml:space="preserve">Dynamic membership rules — computed, continuously evaluated</w:t>
            </w:r>
          </w:p>
        </w:tc>
      </w:tr>
      <w:tr>
        <w:tc>
          <w:tcPr/>
          <w:p>
            <w:pPr>
              <w:pStyle w:val="Compact"/>
            </w:pPr>
            <w:r>
              <w:t xml:space="preserve">Delegated admin</w:t>
            </w:r>
          </w:p>
        </w:tc>
        <w:tc>
          <w:tcPr/>
          <w:p>
            <w:pPr>
              <w:pStyle w:val="Compact"/>
            </w:pPr>
            <w:r>
              <w:t xml:space="preserve">OU ACL delegation</w:t>
            </w:r>
          </w:p>
        </w:tc>
        <w:tc>
          <w:tcPr/>
          <w:p>
            <w:pPr>
              <w:pStyle w:val="Compact"/>
            </w:pPr>
            <w:r>
              <w:t xml:space="preserve">Administrative units, attribute-scoped</w:t>
            </w:r>
          </w:p>
        </w:tc>
      </w:tr>
      <w:tr>
        <w:tc>
          <w:tcPr/>
          <w:p>
            <w:pPr>
              <w:pStyle w:val="Compact"/>
            </w:pPr>
            <w:r>
              <w:t xml:space="preserve">Reorg cost</w:t>
            </w:r>
          </w:p>
        </w:tc>
        <w:tc>
          <w:tcPr/>
          <w:p>
            <w:pPr>
              <w:pStyle w:val="Compact"/>
            </w:pPr>
            <w:r>
              <w:t xml:space="preserve">OU restructure + GPO re-link — a migration project</w:t>
            </w:r>
          </w:p>
        </w:tc>
        <w:tc>
          <w:tcPr/>
          <w:p>
            <w:pPr>
              <w:pStyle w:val="Compact"/>
            </w:pPr>
            <w:r>
              <w:t xml:space="preserve">Attribute re-stamp + rule re-evaluation — a data change</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hrit10"/>
          <w:p>
            <w:pPr>
              <w:pStyle w:val="Compact"/>
              <w:jc w:val="center"/>
            </w:pPr>
            <w:r>
              <w:drawing>
                <wp:inline>
                  <wp:extent cx="5334000" cy="3000375"/>
                  <wp:effectExtent b="0" l="0" r="0" t="0"/>
                  <wp:docPr descr="" title="" id="70" name="Picture"/>
                  <a:graphic>
                    <a:graphicData uri="http://schemas.openxmlformats.org/drawingml/2006/picture">
                      <pic:pic>
                        <pic:nvPicPr>
                          <pic:cNvPr descr="figs/hrit-fig-10-ad-vs-entra-org-structur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Absorbing org and reporting structure — AD versus Entra ID</w:t>
            </w:r>
          </w:p>
          <w:bookmarkEnd w:id="72"/>
        </w:tc>
      </w:tr>
    </w:tbl>
    <w:p>
      <w:pPr>
        <w:pStyle w:val="BodyText"/>
      </w:pPr>
      <w:r>
        <w:t xml:space="preserve">Both directories can absorb the org chart via HR-driven provisioning — but only one absorbs it as data. The row that decides the argument is the last one: an AD reorganization is a migration project with months of drift; an Entra reorganization is a data change. Microsoft’s platform direction and this series’ overlay-and-retire doctrine point the same way: provision</w:t>
      </w:r>
      <w:r>
        <w:t xml:space="preserve"> </w:t>
      </w:r>
      <w:r>
        <w:rPr>
          <w:b/>
          <w:bCs/>
        </w:rPr>
        <w:t xml:space="preserve">both</w:t>
      </w:r>
      <w:r>
        <w:t xml:space="preserve"> </w:t>
      </w:r>
      <w:r>
        <w:t xml:space="preserve">zones during coexistence, read structure from attributes, and retire OU-bound policy deliberately (Phase 4 below, in coordination with</w:t>
      </w:r>
      <w:r>
        <w:t xml:space="preserve"> </w:t>
      </w:r>
      <w:hyperlink r:id="rId18">
        <w:r>
          <w:rPr>
            <w:rStyle w:val="Hyperlink"/>
          </w:rPr>
          <w:t xml:space="preserve">Part 5</w:t>
        </w:r>
      </w:hyperlink>
      <w:r>
        <w:t xml:space="preserve">).</w:t>
      </w:r>
    </w:p>
    <w:bookmarkEnd w:id="73"/>
    <w:bookmarkEnd w:id="74"/>
    <w:bookmarkStart w:id="75" w:name="one-person-one-identifier"/>
    <w:p>
      <w:pPr>
        <w:pStyle w:val="Heading2"/>
      </w:pPr>
      <w:r>
        <w:t xml:space="preserve">5.4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75"/>
    <w:bookmarkStart w:id="76" w:name="the-worker-type-boundary"/>
    <w:p>
      <w:pPr>
        <w:pStyle w:val="Heading2"/>
      </w:pPr>
      <w:r>
        <w:t xml:space="preserve">5.5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76"/>
    <w:bookmarkStart w:id="81" w:name="X6425fd18b5c4f116f10f22295a2c67df893cf44"/>
    <w:p>
      <w:pPr>
        <w:pStyle w:val="Heading2"/>
      </w:pPr>
      <w:r>
        <w:t xml:space="preserve">5.6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9"/>
        </w:numPr>
      </w:pPr>
      <w:r>
        <w:rPr>
          <w:b/>
          <w:bCs/>
        </w:rPr>
        <w:t xml:space="preserve">Disable the account</w:t>
      </w:r>
      <w:r>
        <w:t xml:space="preserve"> </w:t>
      </w:r>
      <w:r>
        <w:t xml:space="preserve">— the sign-in gate closes first.</w:t>
      </w:r>
    </w:p>
    <w:p>
      <w:pPr>
        <w:pStyle w:val="Compact"/>
        <w:numPr>
          <w:ilvl w:val="0"/>
          <w:numId w:val="1009"/>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9"/>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9"/>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9"/>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9"/>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tbl>
      <w:tblPr>
        <w:tblStyle w:val="Table"/>
        <w:tblW w:type="pct" w:w="5000"/>
        <w:tblLayout w:type="fixed"/>
        <w:tblLook w:firstRow="0" w:lastRow="0" w:firstColumn="0" w:lastColumn="0" w:noHBand="0" w:noVBand="0" w:val="0000"/>
      </w:tblPr>
      <w:tblGrid>
        <w:gridCol w:w="7920"/>
      </w:tblGrid>
      <w:tr>
        <w:tc>
          <w:tcPr/>
          <w:bookmarkStart w:id="80" w:name="fig-hrit05"/>
          <w:p>
            <w:pPr>
              <w:pStyle w:val="Compact"/>
              <w:jc w:val="center"/>
            </w:pPr>
            <w:r>
              <w:drawing>
                <wp:inline>
                  <wp:extent cx="5334000" cy="3000375"/>
                  <wp:effectExtent b="0" l="0" r="0" t="0"/>
                  <wp:docPr descr="" title="" id="78" name="Picture"/>
                  <a:graphic>
                    <a:graphicData uri="http://schemas.openxmlformats.org/drawingml/2006/picture">
                      <pic:pic>
                        <pic:nvPicPr>
                          <pic:cNvPr descr="figs/hrit-fig-05-leaver-sequence.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six-step leaver sequence — executed on the effective date, evidenced per step</w:t>
            </w:r>
          </w:p>
          <w:bookmarkEnd w:id="80"/>
        </w:tc>
      </w:tr>
    </w:tbl>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81"/>
    <w:bookmarkStart w:id="82" w:name="the-measured-lifecycle"/>
    <w:p>
      <w:pPr>
        <w:pStyle w:val="Heading2"/>
      </w:pPr>
      <w:r>
        <w:t xml:space="preserve">5.7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82"/>
    <w:bookmarkEnd w:id="83"/>
    <w:bookmarkStart w:id="91" w:name="the-organizational-ssot"/>
    <w:p>
      <w:pPr>
        <w:pStyle w:val="Heading1"/>
      </w:pPr>
      <w:r>
        <w:t xml:space="preserve">6. The Organizational SSOT</w:t>
      </w:r>
    </w:p>
    <w:bookmarkStart w:id="84" w:name="structure-as-queryable-truth"/>
    <w:p>
      <w:pPr>
        <w:pStyle w:val="Heading2"/>
      </w:pPr>
      <w:r>
        <w:t xml:space="preserve">6.1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10"/>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10"/>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10"/>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84"/>
    <w:bookmarkStart w:id="85" w:name="X1c44efed6f59a195bc8d7df37c3cec34f95e174"/>
    <w:p>
      <w:pPr>
        <w:pStyle w:val="Heading2"/>
      </w:pPr>
      <w:r>
        <w:t xml:space="preserve">6.2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11"/>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11"/>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11"/>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85"/>
    <w:bookmarkStart w:id="90" w:name="attestation-lands-on-the-same-rail"/>
    <w:p>
      <w:pPr>
        <w:pStyle w:val="Heading2"/>
      </w:pPr>
      <w:r>
        <w:t xml:space="preserve">6.3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12"/>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12"/>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12"/>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89" w:name="fig-hrit04"/>
          <w:p>
            <w:pPr>
              <w:pStyle w:val="Compact"/>
              <w:jc w:val="center"/>
            </w:pPr>
            <w:r>
              <w:drawing>
                <wp:inline>
                  <wp:extent cx="5334000" cy="3000375"/>
                  <wp:effectExtent b="0" l="0" r="0" t="0"/>
                  <wp:docPr descr="" title="" id="87" name="Picture"/>
                  <a:graphic>
                    <a:graphicData uri="http://schemas.openxmlformats.org/drawingml/2006/picture">
                      <pic:pic>
                        <pic:nvPicPr>
                          <pic:cNvPr descr="figs/hrit-fig-04-org-ssot-derivation.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organizational SSOT derivation chain from HR record to entitlement</w:t>
            </w:r>
          </w:p>
          <w:bookmarkEnd w:id="89"/>
        </w:tc>
      </w:tr>
    </w:tbl>
    <w:bookmarkEnd w:id="90"/>
    <w:bookmarkEnd w:id="91"/>
    <w:bookmarkStart w:id="97" w:name="X65448c4ef8c56761744cefe28de67a9bb67265e"/>
    <w:p>
      <w:pPr>
        <w:pStyle w:val="Heading1"/>
      </w:pPr>
      <w:r>
        <w:t xml:space="preserve">7.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96" w:name="what-this-sets-up"/>
    <w:p>
      <w:pPr>
        <w:pStyle w:val="Heading2"/>
      </w:pPr>
      <w:r>
        <w:t xml:space="preserve">7.1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92">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93">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warning.png" id="9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96"/>
    <w:bookmarkEnd w:id="97"/>
    <w:bookmarkStart w:id="107" w:name="phased-implementation"/>
    <w:p>
      <w:pPr>
        <w:pStyle w:val="Heading1"/>
      </w:pPr>
      <w:r>
        <w:t xml:space="preserve">8.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tbl>
      <w:tblPr>
        <w:tblStyle w:val="Table"/>
        <w:tblW w:type="pct" w:w="5000"/>
        <w:tblLayout w:type="fixed"/>
        <w:tblLook w:firstRow="0" w:lastRow="0" w:firstColumn="0" w:lastColumn="0" w:noHBand="0" w:noVBand="0" w:val="0000"/>
      </w:tblPr>
      <w:tblGrid>
        <w:gridCol w:w="7920"/>
      </w:tblGrid>
      <w:tr>
        <w:tc>
          <w:tcPr/>
          <w:bookmarkStart w:id="101" w:name="fig-hrit07"/>
          <w:p>
            <w:pPr>
              <w:pStyle w:val="Compact"/>
              <w:jc w:val="center"/>
            </w:pPr>
            <w:r>
              <w:drawing>
                <wp:inline>
                  <wp:extent cx="5334000" cy="3000375"/>
                  <wp:effectExtent b="0" l="0" r="0" t="0"/>
                  <wp:docPr descr="" title="" id="99" name="Picture"/>
                  <a:graphic>
                    <a:graphicData uri="http://schemas.openxmlformats.org/drawingml/2006/picture">
                      <pic:pic>
                        <pic:nvPicPr>
                          <pic:cNvPr descr="figs/hrit-fig-07-phased-implementation.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The four implementation phases and their gates — truth, pipe, actions, derivations</w:t>
            </w:r>
          </w:p>
          <w:bookmarkEnd w:id="101"/>
        </w:tc>
      </w:tr>
    </w:tbl>
    <w:bookmarkStart w:id="102" w:name="X26f02255fa42d4b39ecb8211c828a6e302e49b3"/>
    <w:p>
      <w:pPr>
        <w:pStyle w:val="Heading2"/>
      </w:pPr>
      <w:r>
        <w:t xml:space="preserve">8.1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102"/>
    <w:bookmarkStart w:id="103" w:name="X3efec994e51c0649d4baf2b0039fc8ce2ae55ca"/>
    <w:p>
      <w:pPr>
        <w:pStyle w:val="Heading2"/>
      </w:pPr>
      <w:r>
        <w:t xml:space="preserve">8.2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103"/>
    <w:bookmarkStart w:id="104" w:name="phase-3-lifecycle-automation-weeks-1526"/>
    <w:p>
      <w:pPr>
        <w:pStyle w:val="Heading2"/>
      </w:pPr>
      <w:r>
        <w:t xml:space="preserve">8.3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104"/>
    <w:bookmarkStart w:id="105" w:name="X48c517921ac74c40755f2dc42874752b45ab423"/>
    <w:p>
      <w:pPr>
        <w:pStyle w:val="Heading2"/>
      </w:pPr>
      <w:r>
        <w:t xml:space="preserve">8.4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105"/>
    <w:bookmarkStart w:id="106" w:name="the-program-at-a-glance"/>
    <w:p>
      <w:pPr>
        <w:pStyle w:val="Heading2"/>
      </w:pPr>
      <w:r>
        <w:t xml:space="preserve">8.5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106"/>
    <w:bookmarkEnd w:id="107"/>
    <w:bookmarkStart w:id="110" w:name="nist-sp-800-53-rev-5-control-closure"/>
    <w:p>
      <w:pPr>
        <w:pStyle w:val="Heading1"/>
      </w:pPr>
      <w:r>
        <w:t xml:space="preserve">9.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OPM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93">
              <w:r>
                <w:rPr>
                  <w:rStyle w:val="Hyperlink"/>
                </w:rPr>
                <w:t xml:space="preserve">Book 19</w:t>
              </w:r>
            </w:hyperlink>
            <w:r>
              <w:t xml:space="preserve"> </w:t>
            </w:r>
            <w:r>
              <w:t xml:space="preserve">carries the evidence procedures behind it.</w:t>
            </w:r>
          </w:p>
          <w:p/>
        </w:tc>
      </w:tr>
    </w:tbl>
    <w:bookmarkEnd w:id="110"/>
    <w:bookmarkStart w:id="112" w:name="series-context-part-4-of-19"/>
    <w:p>
      <w:pPr>
        <w:pStyle w:val="Heading1"/>
      </w:pPr>
      <w:r>
        <w:t xml:space="preserve">10. Series Context — Part 4 of 19</w:t>
      </w:r>
    </w:p>
    <w:p>
      <w:pPr>
        <w:pStyle w:val="FirstParagraph"/>
      </w:pPr>
      <w:r>
        <w:t xml:space="preserve">This part completes the substrate on which the fifteen parts that follow are built:</w:t>
      </w:r>
    </w:p>
    <w:p>
      <w:pPr>
        <w:pStyle w:val="Compact"/>
        <w:numPr>
          <w:ilvl w:val="0"/>
          <w:numId w:val="1013"/>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3"/>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3"/>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3"/>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92">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93">
        <w:r>
          <w:rPr>
            <w:rStyle w:val="Hyperlink"/>
          </w:rPr>
          <w:t xml:space="preserve">Book 19</w:t>
        </w:r>
      </w:hyperlink>
      <w:r>
        <w:t xml:space="preserve"> </w:t>
      </w:r>
      <w:r>
        <w:t xml:space="preserve">packages the lifecycle evidence this book emits.</w:t>
      </w:r>
    </w:p>
    <w:bookmarkStart w:id="111"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58" Target="media/rId58.png" /><Relationship Type="http://schemas.openxmlformats.org/officeDocument/2006/relationships/image" Id="rId98" Target="media/rId98.png" /><Relationship Type="http://schemas.openxmlformats.org/officeDocument/2006/relationships/image" Id="rId35" Target="media/rId35.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2026-07-08T12:58:28Z</dcterms:created>
  <dcterms:modified xsi:type="dcterms:W3CDTF">2026-07-08T12:58:28Z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