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Track A — Assessment Rubrics</w:t>
      </w:r>
    </w:p>
    <w:p>
      <w:r>
        <w:rPr>
          <w:i/>
          <w:color w:val="5A5A5A"/>
          <w:sz w:val="24"/>
        </w:rPr>
        <w:t>Per-slot scoring sheets for the compliance-track capstone (the eight-slot walk)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These rubrics score the Track A capstone: one document covering all eight evidence slots, backed by a real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run. Self-assess or peer-assess; the rubric language is deliberately the language an assessor would use.</w:t>
      </w:r>
    </w:p>
    <w:p>
      <w:pPr>
        <w:pStyle w:val="Heading2"/>
      </w:pPr>
      <w:r>
        <w:rPr>
          <w:color w:val="0D1B2E"/>
        </w:rPr>
        <w:t>The scale (applies to every slot)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Missing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Slot not addressed, or addressed without reference to the books or the mapping YAML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Named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Feeding books and KSI category named correctly, but controls or evidence flow are wrong/absent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Traced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Book → NIST anchor → KSI category → evidence source chain is complete and correct against the slot mapping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Assessor-ready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Level 2 </w:t>
            </w:r>
            <w:r>
              <w:rPr>
                <w:b/>
                <w:sz w:val="18"/>
              </w:rPr>
              <w:t>plus</w:t>
            </w:r>
            <w:r>
              <w:rPr>
                <w:sz w:val="18"/>
              </w:rPr>
              <w:t xml:space="preserve"> a real verdict from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, an honest gap statement for anything not-evaluated, and the deadline that gap answers to</w:t>
            </w:r>
          </w:p>
        </w:tc>
      </w:tr>
    </w:tbl>
    <w:p/>
    <w:p>
      <w:pPr>
        <w:spacing w:before="80" w:after="80"/>
      </w:pPr>
      <w:r>
        <w:rPr>
          <w:b/>
          <w:sz w:val="22"/>
        </w:rPr>
        <w:t>Pass bar for Track A:</w:t>
      </w:r>
      <w:r>
        <w:rPr>
          <w:sz w:val="22"/>
        </w:rPr>
        <w:t xml:space="preserve"> every slot at level 2 or higher, </w:t>
      </w:r>
      <w:r>
        <w:rPr>
          <w:b/>
          <w:sz w:val="22"/>
        </w:rPr>
        <w:t>and</w:t>
      </w:r>
      <w:r>
        <w:rPr>
          <w:sz w:val="22"/>
        </w:rPr>
        <w:t xml:space="preserve"> at least three slots at level 3. (All eight at level 3 is the "distinguished" outcome — it is, in substance, a ConMon narrative.)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4-rubric-lad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rubric ladder: Missing → Named → Traced → Assessor-ready, with the pass bar and the four common checks.</w:t>
      </w:r>
    </w:p>
    <w:p>
      <w:pPr>
        <w:pStyle w:val="Heading2"/>
      </w:pPr>
      <w:r>
        <w:rPr>
          <w:color w:val="0D1B2E"/>
        </w:rPr>
        <w:t>Common checks (scored once, apply to the whole capstone)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Yes/No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sz w:val="18"/>
              </w:rPr>
              <w:t>ksi-ar</w:t>
            </w:r>
            <w:r>
              <w:rPr>
                <w:sz w:val="18"/>
              </w:rPr>
              <w:t xml:space="preserve"> output file is attached/linked, not just described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Every control ID cited appears in the slot mapping or the book itself (no invented controls)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Scaffold/not-evaluated rules are stated as gaps, not glossed as satisfied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Each gap names its forcing deadline (e.g., BOD 26-04 Dec 7 2026; 20x mandatory Jan 1 2027)</w:t>
            </w:r>
          </w:p>
        </w:tc>
        <w:tc>
          <w:tcPr>
            <w:tcW w:type="dxa" w:w="4680"/>
          </w:tcPr>
          <w:p>
            <w:r/>
          </w:p>
        </w:tc>
      </w:tr>
    </w:tbl>
    <w:p/>
    <w:p>
      <w:pPr>
        <w:pStyle w:val="Heading2"/>
      </w:pPr>
      <w:r>
        <w:rPr>
          <w:color w:val="0D1B2E"/>
        </w:rPr>
        <w:t>Slot 1 — identity (KSI-IAM)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03, 04, 06, 07, 10 named (08 as procedural companion)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IA-2(+1/2/11), IA-5, IA-11, AC-2(+1), AC-3, AC-5/6 family, AC-17, CA-7 mapped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Before/after table for at least one AC-6 enhancement (Book 10 style)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Sign-in/risk logs named as the source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privileged-role trace: PIM design → control → KSI rule → audit log entry (e.g., the PIM lab export)</w:t>
            </w:r>
          </w:p>
        </w:tc>
      </w:tr>
    </w:tbl>
    <w:p/>
    <w:p>
      <w:pPr>
        <w:pStyle w:val="Heading2"/>
      </w:pPr>
      <w:r>
        <w:rPr>
          <w:color w:val="0D1B2E"/>
        </w:rPr>
        <w:t>Slot 2 — addressing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AC-4 anchors; the 16-control closure claim attributed to the roadmap, not asserted as fact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IPAM inventory named as the attestation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inventory artifact (vendor export or the DDI lab fixture) referenced from the slot-02 mapping</w:t>
            </w:r>
          </w:p>
        </w:tc>
      </w:tr>
    </w:tbl>
    <w:p/>
    <w:p>
      <w:pPr>
        <w:pStyle w:val="Heading2"/>
      </w:pPr>
      <w:r>
        <w:rPr>
          <w:color w:val="0D1B2E"/>
        </w:rPr>
        <w:t>Slot 3 — network (KSI-CNA)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05, 09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SC-8 / CA-7 anchors; Book 09's SC/SI depth distinguished from Book 05's argument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application-aware path policy mapped to SC-8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CA-7 continuous signal that proves the policy stays enforced, named concretely (probe, log, or export)</w:t>
            </w:r>
          </w:p>
        </w:tc>
      </w:tr>
    </w:tbl>
    <w:p/>
    <w:p>
      <w:pPr>
        <w:pStyle w:val="Heading2"/>
      </w:pPr>
      <w:r>
        <w:rPr>
          <w:color w:val="0D1B2E"/>
        </w:rPr>
        <w:t>Slot 4 — telemetry (KSI-MLA)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11, 12, 13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CA-7 / SI-4 anchors; RA-5 family, SI-2, AU-6/7/8/11, IR-4/6/8 assigned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KEV-scenario trace: Defender VM finding → Sentinel incident → SI-4/RA-5 closure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fired-rule artifact (e.g., the Sentinel lab chain) plus the AU-11 retention argument</w:t>
            </w:r>
          </w:p>
        </w:tc>
      </w:tr>
    </w:tbl>
    <w:p/>
    <w:p>
      <w:pPr>
        <w:pStyle w:val="Heading2"/>
      </w:pPr>
      <w:r>
        <w:rPr>
          <w:color w:val="0D1B2E"/>
        </w:rPr>
        <w:t>Slot 5 — endpoint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10 (PAW), 11 (assessment surface), 17 (PII endpoints); 02 noted (device identity — binding pending mapping refresh)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IA-3 anchors; PT entry points from Book 17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Endpoint-inventory statement covering device identity and completeness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PII-handling endpoint subset called out with its Book 17 transparency treatment</w:t>
            </w:r>
          </w:p>
        </w:tc>
      </w:tr>
    </w:tbl>
    <w:p/>
    <w:p>
      <w:pPr>
        <w:pStyle w:val="Heading2"/>
      </w:pPr>
      <w:r>
        <w:rPr>
          <w:color w:val="0D1B2E"/>
        </w:rPr>
        <w:t>Slot 6 — security configuration &amp; change (KSI-CMT)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11, 13, 15, 16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CM-2 / AC-4 anchors; SR family from Book 15; PM family from Book 16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BOD 26-04 submission story: SBOM artifacts → KSI-011–014 activation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SBOM/VDR artifact, and the Book 19 submission cadence stated against the Dec 7 2026 gate</w:t>
            </w:r>
          </w:p>
        </w:tc>
      </w:tr>
    </w:tbl>
    <w:p/>
    <w:p>
      <w:pPr>
        <w:pStyle w:val="Heading2"/>
      </w:pPr>
      <w:r>
        <w:rPr>
          <w:color w:val="0D1B2E"/>
        </w:rPr>
        <w:t>Slot 7 — continuity (KSI-RPL)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CP-2 through CP-10 with enhancement counts right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contingency-test exercise mapped to CP-4 via the slot-07 binding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tabletop AAR (even a lab one) with findings and owners — a zero-finding AAR scores 0 here, per Book 14</w:t>
            </w:r>
          </w:p>
        </w:tc>
      </w:tr>
    </w:tbl>
    <w:p/>
    <w:p>
      <w:pPr>
        <w:pStyle w:val="Heading2"/>
      </w:pPr>
      <w:r>
        <w:rPr>
          <w:color w:val="0D1B2E"/>
        </w:rPr>
        <w:t>Slot 8 — training (KSI-CED)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18 (19 as the freshness/ConMon context)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AT-2(+1/+2), AT-3(+3/+5), AT-4, CP-3, IR-2 mapped to the four training dimensions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sz w:val="18"/>
              </w:rPr>
              <w:t>training-effectiveness-record</w:t>
            </w:r>
            <w:r>
              <w:rPr>
                <w:sz w:val="18"/>
              </w:rPr>
              <w:t xml:space="preserve"> JSON named as the KSI-022 evidence contract, with the ≥95% thresholds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record (lab-generated is fine) passing the PASS logic, with per-identity phishing results — aggregate-only stats score 0 here, per Book 18</w:t>
            </w:r>
          </w:p>
        </w:tc>
      </w:tr>
    </w:tbl>
    <w:p/>
    <w:p>
      <w:pPr>
        <w:pStyle w:val="Heading2"/>
      </w:pPr>
      <w:r>
        <w:rPr>
          <w:color w:val="0D1B2E"/>
        </w:rPr>
        <w:t>Scoring sheet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Slot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(0–3)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8 — training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Common checks passed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/4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Result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/ Not yet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= all ≥2, ≥3 at level 3, 4/4 common checks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