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00 — Executive Summary</w:t>
      </w:r>
    </w:p>
    <w:p>
      <w:r>
        <w:rPr>
          <w:i/>
          <w:color w:val="5A5A5A"/>
          <w:sz w:val="24"/>
        </w:rPr>
        <w:t>AAN module: the decision-maker synthesis of the series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Book_00 Executive Summary &lt;https://github.com/WhalerMike/uiao/blob/main/inbox/Application%20Aware%20Networking/Book_00_FedAAN_Executive_Summary.qmd&gt; · </w:t>
      </w:r>
      <w:r>
        <w:rPr>
          <w:b/>
          <w:sz w:val="22"/>
        </w:rPr>
        <w:t>Evidence slot:</w:t>
      </w:r>
      <w:r>
        <w:rPr>
          <w:sz w:val="22"/>
        </w:rPr>
        <w:t xml:space="preserve"> — (orientation) · </w:t>
      </w:r>
      <w:r>
        <w:rPr>
          <w:b/>
          <w:sz w:val="22"/>
        </w:rPr>
        <w:t>Track modules:</w:t>
      </w:r>
      <w:r>
        <w:rPr>
          <w:sz w:val="22"/>
        </w:rPr>
        <w:t xml:space="preserve"> A0, Track B prerequisite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The decision-maker synthesis of the series. Thesis: the agency's compliance debt is an </w:t>
      </w:r>
      <w:r>
        <w:rPr>
          <w:b/>
          <w:sz w:val="22"/>
        </w:rPr>
        <w:t>architectural pattern mismatch, not a resource shortage</w:t>
      </w:r>
      <w:r>
        <w:rPr>
          <w:sz w:val="22"/>
        </w:rPr>
        <w:t xml:space="preserve"> — the six core implementations (Books 01, 05–09) close 34 distinct NIST SP 800-53 Rev 5 controls (~55 more via Parts 10–14), and together they </w:t>
      </w:r>
      <w:r>
        <w:rPr>
          <w:i/>
          <w:sz w:val="22"/>
        </w:rPr>
        <w:t>are</w:t>
      </w:r>
      <w:r>
        <w:rPr>
          <w:sz w:val="22"/>
        </w:rPr>
        <w:t xml:space="preserve"> the FedRAMP 20x continuous-monitoring posture that becomes mandatory January 1, 2027.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Map expected POA&amp;M findings (CM-8, SC-20/21, SC-7, AU-2/12, IA-9, IA-2, IA-5) to the architectural gap causing each and the technology closing it.</w:t>
      </w:r>
    </w:p>
    <w:p>
      <w:pPr>
        <w:pStyle w:val="ListBullet"/>
      </w:pPr>
      <w:r>
        <w:rPr>
          <w:sz w:val="22"/>
        </w:rPr>
        <w:t>State the FedRAMP 20x hard deadlines: Class A August 3, 2026; Class B/C August 31, 2026; BOD 26-04 December 7, 2026; 20x mandatory January 1, 2027; Rev 5 cutoff June 11, 2027.</w:t>
      </w:r>
    </w:p>
    <w:p>
      <w:pPr>
        <w:pStyle w:val="ListBullet"/>
      </w:pPr>
      <w:r>
        <w:rPr>
          <w:sz w:val="22"/>
        </w:rPr>
        <w:t>State the four criteria that make a control "closed" under 20x: evidence that is automatic, machine-readable, continuous, and programmatically validatable.</w:t>
      </w:r>
    </w:p>
    <w:p>
      <w:pPr>
        <w:pStyle w:val="ListBullet"/>
      </w:pPr>
      <w:r>
        <w:rPr>
          <w:sz w:val="22"/>
        </w:rPr>
        <w:t>Assign each book to its control families and core technology.</w:t>
      </w:r>
    </w:p>
    <w:p>
      <w:pPr>
        <w:pStyle w:val="ListBullet"/>
      </w:pPr>
      <w:r>
        <w:rPr>
          <w:sz w:val="22"/>
        </w:rPr>
        <w:t>Justify the implementation priority order (DDI first; SD-WAN/SASE concurrent; Entra/ZTNA as a phased program; SQL/Arc in parallel).</w:t>
      </w:r>
    </w:p>
    <w:p>
      <w:pPr>
        <w:pStyle w:val="ListBullet"/>
      </w:pPr>
      <w:r>
        <w:rPr>
          <w:sz w:val="22"/>
        </w:rPr>
        <w:t>Identify the residual gap families (SR, PM, PT) closed by Books 15–17.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The expected-POA&amp;M-to-closure mapping table (finding → root cause → closing technology).</w:t>
      </w:r>
    </w:p>
    <w:p>
      <w:pPr>
        <w:pStyle w:val="ListBullet"/>
      </w:pPr>
      <w:r>
        <w:rPr>
          <w:sz w:val="22"/>
        </w:rPr>
        <w:t>"DIA is a pipe" — direct internet access alone satisfies zero NIST controls; the SASE/SD-WAN stack closes them.</w:t>
      </w:r>
    </w:p>
    <w:p>
      <w:pPr>
        <w:pStyle w:val="ListBullet"/>
      </w:pPr>
      <w:r>
        <w:rPr>
          <w:sz w:val="22"/>
        </w:rPr>
        <w:t>SSOT-before-tokens structural dependency (token identity presumes a restored single source of truth).</w:t>
      </w:r>
    </w:p>
    <w:p>
      <w:pPr>
        <w:pStyle w:val="ListBullet"/>
      </w:pPr>
      <w:r>
        <w:rPr>
          <w:sz w:val="22"/>
        </w:rPr>
        <w:t>KSI themes (KSI-MLA, KSI-SVC, KSI-IAM) and machine-readable evidence.</w:t>
      </w:r>
    </w:p>
    <w:p>
      <w:pPr>
        <w:pStyle w:val="ListBullet"/>
      </w:pPr>
      <w:r>
        <w:rPr>
          <w:sz w:val="22"/>
        </w:rPr>
        <w:t>The Conformance Adapter + OSCAL Emitter (AP/AR/POAM bundles) and the evidence surface slots — the same slots that structure Track A.</w:t>
      </w:r>
    </w:p>
    <w:p>
      <w:pPr>
        <w:pStyle w:val="Heading2"/>
      </w:pPr>
      <w:r>
        <w:rPr>
          <w:color w:val="0D1B2E"/>
        </w:rPr>
        <w:t>Reading sequence</w:t>
      </w:r>
    </w:p>
    <w:p>
      <w:pPr>
        <w:spacing w:before="80" w:after="80"/>
      </w:pPr>
      <w:r>
        <w:rPr>
          <w:sz w:val="22"/>
        </w:rPr>
        <w:t>Not implementation-shaped; it is the argument for the whole program: findings diagnosis → deadline map → per-book control closure → priority order → phased delivery roadmap (Phase 0 July 2026 through the BOD 26-04 submission December 7, 2026) → residual gaps.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The widest citation surface in the series — SC, CM, AU, IA, AC, CA, CP, IR, SA, SI, RA, MP families plus the SR/PM/PT gap families; FedRAMP 20x Consolidated Rules, KSI-011–014, BOD 26-04, EO 14028, OMB M-22-09, TIC 3.0, NIST SP 800-207.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Build a POA&amp;M-to-closure traceability matrix: take the findings table and produce OSCAL-style entries mapping each finding to control, technology, and evidence artifact.</w:t>
      </w:r>
    </w:p>
    <w:p>
      <w:pPr>
        <w:pStyle w:val="ListNumber"/>
      </w:pPr>
      <w:r>
        <w:rPr>
          <w:sz w:val="22"/>
        </w:rPr>
        <w:t>Write a small KSI evidence validator: given sample JSON evidence (e.g., an IP inventory export), check it against the four "closed under 20x" criteria.</w:t>
      </w:r>
    </w:p>
    <w:p>
      <w:pPr>
        <w:pStyle w:val="ListNumber"/>
      </w:pPr>
      <w:r>
        <w:rPr>
          <w:sz w:val="22"/>
        </w:rPr>
        <w:t>Build the Phase 0–4 delivery plan as a dependency graph and identify which slips break the December 7, 2026 BOD 26-04 gate.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Treating POA&amp;M items as periodic-remediation tasks — under 20x they demand continuous machine-readable evidence; manual assembly cannot satisfy KSIs.</w:t>
      </w:r>
    </w:p>
    <w:p>
      <w:pPr>
        <w:pStyle w:val="ListBullet"/>
      </w:pPr>
      <w:r>
        <w:rPr>
          <w:sz w:val="22"/>
        </w:rPr>
        <w:t>Rolling out tokens before SSOT restoration ("signing broken authorizations efficiently").</w:t>
      </w:r>
    </w:p>
    <w:p>
      <w:pPr>
        <w:pStyle w:val="ListBullet"/>
      </w:pPr>
      <w:r>
        <w:rPr>
          <w:sz w:val="22"/>
        </w:rPr>
        <w:t>Assuming network/security books close SR/PM/PT controls — they cannot.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SC-100 Cybersecurity Architect, ISC2, FedRAMP PMO materials.</w:t>
      </w:r>
    </w:p>
    <w:p>
      <w:pPr>
        <w:spacing w:before="80" w:after="80"/>
      </w:pPr>
      <w:r>
        <w:rPr>
          <w:b/>
          <w:sz w:val="22"/>
        </w:rPr>
        <w:t>Next:</w:t>
      </w:r>
      <w:r>
        <w:rPr>
          <w:sz w:val="22"/>
        </w:rPr>
        <w:t xml:space="preserve"> Book 01 — SSA Landing Zone, IPAM &amp; FedRAMP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