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02 — Network Access Control: 802.1X</w:t>
      </w:r>
    </w:p>
    <w:p>
      <w:r>
        <w:rPr>
          <w:i/>
          <w:color w:val="5A5A5A"/>
          <w:sz w:val="24"/>
        </w:rPr>
        <w:t>AAN module: device identity at the port — EAP-TLS, NPS, the five-tier VLAN model, and posture-driven CoA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Book_02 Network Access Control 802.1X &lt;https://github.com/WhalerMike/uiao/blob/main/inbox/Application%20Aware%20Networking/Book_02_FedAAN_Network_Access_Control_802_1X.qmd&gt; · </w:t>
      </w:r>
      <w:r>
        <w:rPr>
          <w:b/>
          <w:sz w:val="22"/>
        </w:rPr>
        <w:t>Evidence slot:</w:t>
      </w:r>
      <w:r>
        <w:rPr>
          <w:sz w:val="22"/>
        </w:rPr>
        <w:t xml:space="preserve"> — (KSI-CMT / KSI-IAM themes; slot binding pending the adapter mapping refresh) · </w:t>
      </w:r>
      <w:r>
        <w:rPr>
          <w:b/>
          <w:sz w:val="22"/>
        </w:rPr>
        <w:t>Track modules:</w:t>
      </w:r>
      <w:r>
        <w:rPr>
          <w:sz w:val="22"/>
        </w:rPr>
        <w:t xml:space="preserve"> A5 context, B2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Closes the </w:t>
      </w:r>
      <w:r>
        <w:rPr>
          <w:b/>
          <w:sz w:val="22"/>
        </w:rPr>
        <w:t>device identity gap</w:t>
      </w:r>
      <w:r>
        <w:rPr>
          <w:sz w:val="22"/>
        </w:rPr>
        <w:t xml:space="preserve">: user identity alone says nothing about what hardware just plugged into the wall jack. The book builds port- and SSID-level admission control — 802.1X with EAP-TLS against an NPS RADIUS tier, Intune SCEP-issued device certificates, a five-tier VLAN policy structure, MAB confined to documented guest/IoT exceptions, and Intune compliance as the posture signal enforced in real time via RADIUS Change of Authorization. Thesis: </w:t>
      </w:r>
      <w:r>
        <w:rPr>
          <w:b/>
          <w:sz w:val="22"/>
        </w:rPr>
        <w:t>the physical port is an identity-plane enforcement point, and the same certificate substrate that authenticates users must authenticate devices before they get a VLAN at all.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why user authentication alone leaves the physical-access gap, and how the voice-VLAN precedent already normalized per-device network decisions.</w:t>
      </w:r>
    </w:p>
    <w:p>
      <w:pPr>
        <w:pStyle w:val="ListBullet"/>
      </w:pPr>
      <w:r>
        <w:rPr>
          <w:sz w:val="22"/>
        </w:rPr>
        <w:t>Describe the authentication stack (supplicant → authenticator → RADIUS) and justify EAP-TLS over credential-based EAP methods for federal use.</w:t>
      </w:r>
    </w:p>
    <w:p>
      <w:pPr>
        <w:pStyle w:val="ListBullet"/>
      </w:pPr>
      <w:r>
        <w:rPr>
          <w:sz w:val="22"/>
        </w:rPr>
        <w:t>Design the NPS RADIUS tier and the 802.1X port configuration (IOS-XE reference) including re-authentication and session timeout behavior.</w:t>
      </w:r>
    </w:p>
    <w:p>
      <w:pPr>
        <w:pStyle w:val="ListBullet"/>
      </w:pPr>
      <w:r>
        <w:rPr>
          <w:sz w:val="22"/>
        </w:rPr>
        <w:t>Stand up Intune SCEP device-certificate enrollment against the issuing CA, and state the revocation story for machine certs.</w:t>
      </w:r>
    </w:p>
    <w:p>
      <w:pPr>
        <w:pStyle w:val="ListBullet"/>
      </w:pPr>
      <w:r>
        <w:rPr>
          <w:sz w:val="22"/>
        </w:rPr>
        <w:t>Apply the five-tier NAC policy structure — production, remediation, quarantine VLANs, plus MAB-profiled guest/IoT — and defend MAB as a logged exception, never a default.</w:t>
      </w:r>
    </w:p>
    <w:p>
      <w:pPr>
        <w:pStyle w:val="ListBullet"/>
      </w:pPr>
      <w:r>
        <w:rPr>
          <w:sz w:val="22"/>
        </w:rPr>
        <w:t>Wire Intune compliance state into access decisions and trigger CoA to re-evaluate a live session when posture changes.</w:t>
      </w:r>
    </w:p>
    <w:p>
      <w:pPr>
        <w:pStyle w:val="ListBullet"/>
      </w:pPr>
      <w:r>
        <w:rPr>
          <w:sz w:val="22"/>
        </w:rPr>
        <w:t>Extend the same model to wireless via WPA3-Enterprise, and to DHCP fingerprinting / IPAM-driven VLAN assignment through the Book 01 Infoblox layer.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Device identity vs. user identity; the federal physical-access reality.</w:t>
      </w:r>
    </w:p>
    <w:p>
      <w:pPr>
        <w:pStyle w:val="ListBullet"/>
      </w:pPr>
      <w:r>
        <w:rPr>
          <w:sz w:val="22"/>
        </w:rPr>
        <w:t>EAP-TLS mutual certificate authentication; why password-carrying EAP methods fail the phishing-resistance bar.</w:t>
      </w:r>
    </w:p>
    <w:p>
      <w:pPr>
        <w:pStyle w:val="ListBullet"/>
      </w:pPr>
      <w:r>
        <w:rPr>
          <w:sz w:val="22"/>
        </w:rPr>
        <w:t>The certificate trust chain for devices (Book 03's hierarchy applied at the port) and SCEP enrollment through Intune.</w:t>
      </w:r>
    </w:p>
    <w:p>
      <w:pPr>
        <w:pStyle w:val="ListBullet"/>
      </w:pPr>
      <w:r>
        <w:rPr>
          <w:sz w:val="22"/>
        </w:rPr>
        <w:t>Five-tier VLAN model: production / remediation / quarantine / voice / MAB-profiled exceptions.</w:t>
      </w:r>
    </w:p>
    <w:p>
      <w:pPr>
        <w:pStyle w:val="ListBullet"/>
      </w:pPr>
      <w:r>
        <w:rPr>
          <w:sz w:val="22"/>
        </w:rPr>
        <w:t>RADIUS CoA as the real-time enforcement channel for posture changes.</w:t>
      </w:r>
    </w:p>
    <w:p>
      <w:pPr>
        <w:pStyle w:val="ListBullet"/>
      </w:pPr>
      <w:r>
        <w:rPr>
          <w:sz w:val="22"/>
        </w:rPr>
        <w:t>RADIUS accounting into Sentinel; NAC analytics rules as slot-relevant telemetry.</w:t>
      </w:r>
    </w:p>
    <w:p>
      <w:pPr>
        <w:pStyle w:val="ListBullet"/>
      </w:pPr>
      <w:r>
        <w:rPr>
          <w:sz w:val="22"/>
        </w:rPr>
        <w:t>The NAC → ZTNA continuum: the port decision and the Conditional Access decision are the same decision at different layers.</w:t>
      </w:r>
    </w:p>
    <w:p>
      <w:pPr>
        <w:pStyle w:val="Heading2"/>
      </w:pPr>
      <w:r>
        <w:rPr>
          <w:color w:val="0D1B2E"/>
        </w:rPr>
        <w:t>Implementation sequence (phased, per the book)</w:t>
      </w:r>
    </w:p>
    <w:p>
      <w:pPr>
        <w:pStyle w:val="ListNumber"/>
      </w:pPr>
      <w:r>
        <w:rPr>
          <w:b/>
          <w:sz w:val="22"/>
        </w:rPr>
        <w:t>Phase 1 — monitor mode (weeks 1–4):</w:t>
      </w:r>
      <w:r>
        <w:rPr>
          <w:sz w:val="22"/>
        </w:rPr>
        <w:t xml:space="preserve"> 802.1X open/monitor on pilot switches; collect would-have-failed data; fix supplicants and cert coverage before anything blocks.</w:t>
      </w:r>
    </w:p>
    <w:p>
      <w:pPr>
        <w:pStyle w:val="ListNumber"/>
      </w:pPr>
      <w:r>
        <w:rPr>
          <w:b/>
          <w:sz w:val="22"/>
        </w:rPr>
        <w:t>Phase 2 — wired enforcement (weeks 5–10):</w:t>
      </w:r>
      <w:r>
        <w:rPr>
          <w:sz w:val="22"/>
        </w:rPr>
        <w:t xml:space="preserve"> promote pilot closets to enforce; remediation/quarantine VLANs live; MAB exceptions documented.</w:t>
      </w:r>
    </w:p>
    <w:p>
      <w:pPr>
        <w:pStyle w:val="ListNumber"/>
      </w:pPr>
      <w:r>
        <w:rPr>
          <w:b/>
          <w:sz w:val="22"/>
        </w:rPr>
        <w:t>Phase 3 — wireless enforcement (weeks 11–14):</w:t>
      </w:r>
      <w:r>
        <w:rPr>
          <w:sz w:val="22"/>
        </w:rPr>
        <w:t xml:space="preserve"> WPA3-Enterprise SSID cutover; retire PSK networks.</w:t>
      </w:r>
    </w:p>
    <w:p>
      <w:pPr>
        <w:pStyle w:val="ListNumber"/>
      </w:pPr>
      <w:r>
        <w:rPr>
          <w:b/>
          <w:sz w:val="22"/>
        </w:rPr>
        <w:t>Phase 4 — IoT segmentation and hardening (weeks 15–20):</w:t>
      </w:r>
      <w:r>
        <w:rPr>
          <w:sz w:val="22"/>
        </w:rPr>
        <w:t xml:space="preserve"> DHCP fingerprinting, IPAM-driven VLAN assignment, CoA-driven posture enforcement across the estate.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IA-3 (+1) device identification and authentication; AC-3, AC-17, AC-19, AC-20 access enforcement surfaces; SC-7(3)(5) boundary/deny-by-default; CM-6, CM-7, CM-8 configuration and inventory; AU-11 accounting retention. FedRAMP 20x: KSI-CMT and KSI-IAM themes — the slot binding lands with the adapter mapping refresh.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01 (the DDI/IPAM layer NAC assigns into); Book 03 is read next but its certificate hierarchy is the trust anchor this book consumes — skim its trust-chain section first if certificates are new to you. Basic switching/CLI familiarity.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Configure one switch port pair in monitor mode against a lab NPS; review the would-have-failed log and produce the pre-enforcement readiness report.</w:t>
      </w:r>
    </w:p>
    <w:p>
      <w:pPr>
        <w:pStyle w:val="ListNumber"/>
      </w:pPr>
      <w:r>
        <w:rPr>
          <w:sz w:val="22"/>
        </w:rPr>
        <w:t>Issue a device certificate via an Intune SCEP profile, complete an EAP-TLS authentication, then revoke and watch the re-auth fail into the quarantine VLAN.</w:t>
      </w:r>
    </w:p>
    <w:p>
      <w:pPr>
        <w:pStyle w:val="ListNumber"/>
      </w:pPr>
      <w:r>
        <w:rPr>
          <w:sz w:val="22"/>
        </w:rPr>
        <w:t>Flip a device out of Intune compliance and verify CoA moves the live session to remediation without waiting for re-authentication.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Skipping monitor mode and enforcing on day one — the classic NAC-lockout failure; monitor-mode-first is non-negotiable.</w:t>
      </w:r>
    </w:p>
    <w:p>
      <w:pPr>
        <w:pStyle w:val="ListBullet"/>
      </w:pPr>
      <w:r>
        <w:rPr>
          <w:sz w:val="22"/>
        </w:rPr>
        <w:t>Letting MAB become the default path instead of a documented, inventoried exception — it silently converts NAC back to MAC filtering.</w:t>
      </w:r>
    </w:p>
    <w:p>
      <w:pPr>
        <w:pStyle w:val="ListBullet"/>
      </w:pPr>
      <w:r>
        <w:rPr>
          <w:sz w:val="22"/>
        </w:rPr>
        <w:t>Certificate expiry as an availability event: device certs that expire without renewal automation take the fleet off the network.</w:t>
      </w:r>
    </w:p>
    <w:p>
      <w:pPr>
        <w:pStyle w:val="ListBullet"/>
      </w:pPr>
      <w:r>
        <w:rPr>
          <w:sz w:val="22"/>
        </w:rPr>
        <w:t>Treating the voice VLAN as a security boundary rather than the precedent it is.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Cisco U / Networking Academy (ISE/NAC), SC-300, AZ-500 (Intune/Conditional Access side).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01 · </w:t>
      </w:r>
      <w:r>
        <w:rPr>
          <w:b/>
          <w:sz w:val="22"/>
        </w:rPr>
        <w:t>Next:</w:t>
      </w:r>
      <w:r>
        <w:rPr>
          <w:sz w:val="22"/>
        </w:rPr>
        <w:t xml:space="preserve"> Book 03 — Certificates, Tokens &amp; Cryptographic Identity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