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03 — Certificates, Tokens &amp; Cryptographic Identity</w:t>
      </w:r>
    </w:p>
    <w:p>
      <w:r>
        <w:rPr>
          <w:i/>
          <w:color w:val="5A5A5A"/>
          <w:sz w:val="24"/>
        </w:rPr>
        <w:t>AAN module: retiring session-bound authentication — the PKI naming plane, 47-day certificates, and token-based identity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Book_03 Certificates Tokens Cryptographic Identity &lt;https://github.com/WhalerMike/uiao/blob/main/inbox/Application%20Aware%20Networking/Book_03_FedAAN_Certificates_Tokens_Cryptographic_Identity.qmd&gt;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IA-5) · </w:t>
      </w:r>
      <w:r>
        <w:rPr>
          <w:b/>
          <w:sz w:val="22"/>
        </w:rPr>
        <w:t>Track modules:</w:t>
      </w:r>
      <w:r>
        <w:rPr>
          <w:sz w:val="22"/>
        </w:rPr>
        <w:t xml:space="preserve"> A1, B2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doctrinal core of the early series: </w:t>
      </w:r>
      <w:r>
        <w:rPr>
          <w:b/>
          <w:sz w:val="22"/>
        </w:rPr>
        <w:t>session-bound, location-bound authentication (Kerberos's three bindings) cannot survive an application-aware, multipath network — identity must be credential-bound and cryptographic.</w:t>
      </w:r>
      <w:r>
        <w:rPr>
          <w:sz w:val="22"/>
        </w:rPr>
        <w:t xml:space="preserve"> The book rebuilds the credential plane: PKI as a naming-plane function with an offline HSM-backed root and name-constrained issuing CAs; certificate lifecycle automation (ACME, CAA) sized for the industry's 47-day maximum lifetimes; OAuth 2.0 / OIDC token identity with deliberate lifetime design; certificate-based authentication and phishing-resistant MFA; and machine/workload identity federation to retire long-lived secrets.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State the three bindings a Kerberos ticket makes and demonstrate why multipath transport breaks them structurally (not fixably).</w:t>
      </w:r>
    </w:p>
    <w:p>
      <w:pPr>
        <w:pStyle w:val="ListBullet"/>
      </w:pPr>
      <w:r>
        <w:rPr>
          <w:sz w:val="22"/>
        </w:rPr>
        <w:t>Explain a certificate as a naming claim, and the one-substrate / three-consumers model (users, devices, workloads).</w:t>
      </w:r>
    </w:p>
    <w:p>
      <w:pPr>
        <w:pStyle w:val="ListBullet"/>
      </w:pPr>
      <w:r>
        <w:rPr>
          <w:sz w:val="22"/>
        </w:rPr>
        <w:t>Design the internal trust hierarchy: offline HSM root, name-constrained issuing CAs, and the blast-radius argument for the constraints.</w:t>
      </w:r>
    </w:p>
    <w:p>
      <w:pPr>
        <w:pStyle w:val="ListBullet"/>
      </w:pPr>
      <w:r>
        <w:rPr>
          <w:sz w:val="22"/>
        </w:rPr>
        <w:t>Operate lifecycle automation: ACME issuance, CAA records restricting who may issue, and why 47-day lifetimes make manual renewal arithmetically impossible — automation is the control.</w:t>
      </w:r>
    </w:p>
    <w:p>
      <w:pPr>
        <w:pStyle w:val="ListBullet"/>
      </w:pPr>
      <w:r>
        <w:rPr>
          <w:sz w:val="22"/>
        </w:rPr>
        <w:t>Contrast revocation in a short-lived-certificate world with CRL/OCSP dependence, and use certificate telemetry as compliance evidence.</w:t>
      </w:r>
    </w:p>
    <w:p>
      <w:pPr>
        <w:pStyle w:val="ListBullet"/>
      </w:pPr>
      <w:r>
        <w:rPr>
          <w:sz w:val="22"/>
        </w:rPr>
        <w:t>Describe the token layer's anatomy (authorization server, access/ refresh/ID tokens, lifetimes) and why the token inverts the trust model relative to the session.</w:t>
      </w:r>
    </w:p>
    <w:p>
      <w:pPr>
        <w:pStyle w:val="ListBullet"/>
      </w:pPr>
      <w:r>
        <w:rPr>
          <w:sz w:val="22"/>
        </w:rPr>
        <w:t>Implement certificate-based authentication and phishing-resistant MFA, and argue why token theft is a smaller problem than credential theft.</w:t>
      </w:r>
    </w:p>
    <w:p>
      <w:pPr>
        <w:pStyle w:val="ListBullet"/>
      </w:pPr>
      <w:r>
        <w:rPr>
          <w:sz w:val="22"/>
        </w:rPr>
        <w:t>Convert workload secrets to federated workload identity (no stored keys), and state where keys are allowed to live.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Session-bound vs. credential-bound identity; "the fallback nobody chose" (NTLM) as the cost of un-retired session auth.</w:t>
      </w:r>
    </w:p>
    <w:p>
      <w:pPr>
        <w:pStyle w:val="ListBullet"/>
      </w:pPr>
      <w:r>
        <w:rPr>
          <w:sz w:val="22"/>
        </w:rPr>
        <w:t>PKI as naming plane — the certificate substrate underneath Books 01 (DDI/PKI issuance), 02 (device certs), and 06 (Entra CBA).</w:t>
      </w:r>
    </w:p>
    <w:p>
      <w:pPr>
        <w:pStyle w:val="ListBullet"/>
      </w:pPr>
      <w:r>
        <w:rPr>
          <w:sz w:val="22"/>
        </w:rPr>
        <w:t>The spreadsheet-CA failure mode and its retirement.</w:t>
      </w:r>
    </w:p>
    <w:p>
      <w:pPr>
        <w:pStyle w:val="ListBullet"/>
      </w:pPr>
      <w:r>
        <w:rPr>
          <w:sz w:val="22"/>
        </w:rPr>
        <w:t>47-day certificate lifetimes; issuance telemetry as evidence.</w:t>
      </w:r>
    </w:p>
    <w:p>
      <w:pPr>
        <w:pStyle w:val="ListBullet"/>
      </w:pPr>
      <w:r>
        <w:rPr>
          <w:sz w:val="22"/>
        </w:rPr>
        <w:t>Access-token/refresh-token lifetime design; Conditional Access as the token-issuance policy point.</w:t>
      </w:r>
    </w:p>
    <w:p>
      <w:pPr>
        <w:pStyle w:val="ListBullet"/>
      </w:pPr>
      <w:r>
        <w:rPr>
          <w:sz w:val="22"/>
        </w:rPr>
        <w:t>Phishing-resistant MFA (FIDO2 / certificate-based) as the IA-2 enhancement surface.</w:t>
      </w:r>
    </w:p>
    <w:p>
      <w:pPr>
        <w:pStyle w:val="ListBullet"/>
      </w:pPr>
      <w:r>
        <w:rPr>
          <w:sz w:val="22"/>
        </w:rPr>
        <w:t>The non-human majority: workload identities outnumber humans; workload identity federation replaces stored secrets.</w:t>
      </w:r>
    </w:p>
    <w:p>
      <w:pPr>
        <w:pStyle w:val="Heading2"/>
      </w:pPr>
      <w:r>
        <w:rPr>
          <w:color w:val="0D1B2E"/>
        </w:rPr>
        <w:t>Implementation sequence (phased, per the book)</w:t>
      </w:r>
    </w:p>
    <w:p>
      <w:pPr>
        <w:pStyle w:val="ListNumber"/>
      </w:pPr>
      <w:r>
        <w:rPr>
          <w:b/>
          <w:sz w:val="22"/>
        </w:rPr>
        <w:t>Phase 1 — certificate estate discovery (weeks 1–4):</w:t>
      </w:r>
      <w:r>
        <w:rPr>
          <w:sz w:val="22"/>
        </w:rPr>
        <w:t xml:space="preserve"> find every certificate and its issuer; build the inventory the automation will own.</w:t>
      </w:r>
    </w:p>
    <w:p>
      <w:pPr>
        <w:pStyle w:val="ListNumber"/>
      </w:pPr>
      <w:r>
        <w:rPr>
          <w:b/>
          <w:sz w:val="22"/>
        </w:rPr>
        <w:t>Phase 2 — issuance automation (weeks 5–12):</w:t>
      </w:r>
      <w:r>
        <w:rPr>
          <w:sz w:val="22"/>
        </w:rPr>
        <w:t xml:space="preserve"> ACME/SCEP pipelines, CAA records, offline-root + name-constrained issuing hierarchy.</w:t>
      </w:r>
    </w:p>
    <w:p>
      <w:pPr>
        <w:pStyle w:val="ListNumber"/>
      </w:pPr>
      <w:r>
        <w:rPr>
          <w:b/>
          <w:sz w:val="22"/>
        </w:rPr>
        <w:t>Phase 3 — token migration and phishing-resistant enforcement (weeks 13–24):</w:t>
      </w:r>
      <w:r>
        <w:rPr>
          <w:sz w:val="22"/>
        </w:rPr>
        <w:t xml:space="preserve"> OIDC/OAuth conversion, CBA/FIDO2 rollout, Conditional Access enforcement.</w:t>
      </w:r>
    </w:p>
    <w:p>
      <w:pPr>
        <w:pStyle w:val="ListNumber"/>
      </w:pPr>
      <w:r>
        <w:rPr>
          <w:b/>
          <w:sz w:val="22"/>
        </w:rPr>
        <w:t>Phase 4 — workload identity conversion (weeks 25–40):</w:t>
      </w:r>
      <w:r>
        <w:rPr>
          <w:sz w:val="22"/>
        </w:rPr>
        <w:t xml:space="preserve"> federate service credentials; eliminate long-lived stored keys.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IA-5 (+2 PKI-based authentication), SC-12 key establishment/management, SC-17 PKI certificates, IA-2 (+1)(+2) MFA for privileged and non-privileged accounts. FedRAMP 20x: </w:t>
      </w:r>
      <w:r>
        <w:rPr>
          <w:b/>
          <w:sz w:val="22"/>
        </w:rPr>
        <w:t>binds evidence slot 1 — identity (KSI-IAM)</w:t>
      </w:r>
      <w:r>
        <w:rPr>
          <w:sz w:val="22"/>
        </w:rPr>
        <w:t xml:space="preserve"> — certificate issuance telemetry and token policy state are the evidence artifacts.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(the PKI issuance point lives in the DDI layer); Book 02 shows the port-level consumer of this hierarchy. No prior PKI depth assumed — the book builds the trust-chain argument from first principles.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Stand up a lab two-tier hierarchy (offline root simulated, one name-constrained issuing CA); publish CAA records and demonstrate an out-of-policy issuance being refused.</w:t>
      </w:r>
    </w:p>
    <w:p>
      <w:pPr>
        <w:pStyle w:val="ListNumber"/>
      </w:pPr>
      <w:r>
        <w:rPr>
          <w:sz w:val="22"/>
        </w:rPr>
        <w:t>Automate one certificate through ACME DNS-01 at a short lifetime; capture the issuance/renewal telemetry as slot-01 evidence.</w:t>
      </w:r>
    </w:p>
    <w:p>
      <w:pPr>
        <w:pStyle w:val="ListNumber"/>
      </w:pPr>
      <w:r>
        <w:rPr>
          <w:sz w:val="22"/>
        </w:rPr>
        <w:t>Register an OIDC application, inspect access/refresh token lifetimes, then enforce phishing-resistant MFA via Conditional Access and verify the token-issuance policy change in the sign-in log.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47-day lifetimes as a burden to negotiate down rather than the forcing function for automation.</w:t>
      </w:r>
    </w:p>
    <w:p>
      <w:pPr>
        <w:pStyle w:val="ListBullet"/>
      </w:pPr>
      <w:r>
        <w:rPr>
          <w:sz w:val="22"/>
        </w:rPr>
        <w:t>Standing up issuing CAs without name constraints — one compromised issuer then speaks for the whole namespace.</w:t>
      </w:r>
    </w:p>
    <w:p>
      <w:pPr>
        <w:pStyle w:val="ListBullet"/>
      </w:pPr>
      <w:r>
        <w:rPr>
          <w:sz w:val="22"/>
        </w:rPr>
        <w:t>Migrating to tokens while leaving Kerberos/NTLM fallback enabled: the attacker uses the fallback, not the upgrade.</w:t>
      </w:r>
    </w:p>
    <w:p>
      <w:pPr>
        <w:pStyle w:val="ListBullet"/>
      </w:pPr>
      <w:r>
        <w:rPr>
          <w:sz w:val="22"/>
        </w:rPr>
        <w:t>Storing workload secrets in code/config after the human credential plane is modernized — the non-human majority is the larger surface.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AZ-500 (Entra CBA, Conditional Access, workload identity), identity &amp; zero trust.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02 · </w:t>
      </w:r>
      <w:r>
        <w:rPr>
          <w:b/>
          <w:sz w:val="22"/>
        </w:rPr>
        <w:t>Next:</w:t>
      </w:r>
      <w:r>
        <w:rPr>
          <w:sz w:val="22"/>
        </w:rPr>
        <w:t xml:space="preserve"> Book 04 — HRIT Identity &amp; Organizational SSOT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