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04 — HRIT Identity &amp; Organizational SSOT</w:t>
      </w:r>
    </w:p>
    <w:p>
      <w:r>
        <w:rPr>
          <w:i/>
          <w:color w:val="5A5A5A"/>
          <w:sz w:val="24"/>
        </w:rPr>
        <w:t>AAN module: HR as the single source of truth — effective-dated records, event-driven provisioning, and the measured lifecycle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Book_04 HRIT Identity Org SSOT &lt;https://github.com/WhalerMike/uiao/blob/main/inbox/Application%20Aware%20Networking/Book_04_FedAAN_HRIT_Identity_Org_SSOT.qmd&gt; · </w:t>
      </w:r>
      <w:r>
        <w:rPr>
          <w:b/>
          <w:sz w:val="22"/>
        </w:rPr>
        <w:t>Evidence slot:</w:t>
      </w:r>
      <w:r>
        <w:rPr>
          <w:sz w:val="22"/>
        </w:rPr>
        <w:t xml:space="preserve"> 1 — identity (KSI-IAM, AC-2 / IA-4) · </w:t>
      </w:r>
      <w:r>
        <w:rPr>
          <w:b/>
          <w:sz w:val="22"/>
        </w:rPr>
        <w:t>Track modules:</w:t>
      </w:r>
      <w:r>
        <w:rPr>
          <w:sz w:val="22"/>
        </w:rPr>
        <w:t xml:space="preserve"> A1, B2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Solves the </w:t>
      </w:r>
      <w:r>
        <w:rPr>
          <w:b/>
          <w:sz w:val="22"/>
        </w:rPr>
        <w:t>fragmented truth problem</w:t>
      </w:r>
      <w:r>
        <w:rPr>
          <w:sz w:val="22"/>
        </w:rPr>
        <w:t xml:space="preserve">: identity attributes scattered across HR, the directory, and per-app databases, with orphaned accounts as the visible symptom. The book installs the HR information technology system (Oracle HCM class) as the </w:t>
      </w:r>
      <w:r>
        <w:rPr>
          <w:b/>
          <w:sz w:val="22"/>
        </w:rPr>
        <w:t>system of record</w:t>
      </w:r>
      <w:r>
        <w:rPr>
          <w:sz w:val="22"/>
        </w:rPr>
        <w:t xml:space="preserve"> and the identity provider as its downstream consumer: effective-dated records, a strict authoritative-vs-derived attribute contract, an event-stream lifecycle (joiner, mover, converter, suspender, leaver), SCIM / Graph </w:t>
      </w:r>
      <w:r>
        <w:rPr>
          <w:rFonts w:ascii="Consolas" w:hAnsi="Consolas"/>
          <w:sz w:val="22"/>
        </w:rPr>
        <w:t>bulkUpload</w:t>
      </w:r>
      <w:r>
        <w:rPr>
          <w:sz w:val="22"/>
        </w:rPr>
        <w:t xml:space="preserve"> inbound provisioning, and deprovisioning as an HR event — never a ticket. The organizational hierarchy becomes queryable truth from which access is derived and attested.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Diagnose where identity truth lives today, and connect orphaned accounts to the absence of an authoritative lifecycle source.</w:t>
      </w:r>
    </w:p>
    <w:p>
      <w:pPr>
        <w:pStyle w:val="ListBullet"/>
      </w:pPr>
      <w:r>
        <w:rPr>
          <w:sz w:val="22"/>
        </w:rPr>
        <w:t>Draw the division of labor: system of record (HRIT) vs. identity provider (Entra) — who owns which attributes, who merely consumes.</w:t>
      </w:r>
    </w:p>
    <w:p>
      <w:pPr>
        <w:pStyle w:val="ListBullet"/>
      </w:pPr>
      <w:r>
        <w:rPr>
          <w:sz w:val="22"/>
        </w:rPr>
        <w:t>Use effective dating to represent truth with a timeline (future-dated hires, transfers, separations) and explain the four record families the HR system actually owns.</w:t>
      </w:r>
    </w:p>
    <w:p>
      <w:pPr>
        <w:pStyle w:val="ListBullet"/>
      </w:pPr>
      <w:r>
        <w:rPr>
          <w:sz w:val="22"/>
        </w:rPr>
        <w:t>Enumerate the five lifecycle events and map each to its provisioning consequence in the identity plane.</w:t>
      </w:r>
    </w:p>
    <w:p>
      <w:pPr>
        <w:pStyle w:val="ListBullet"/>
      </w:pPr>
      <w:r>
        <w:rPr>
          <w:sz w:val="22"/>
        </w:rPr>
        <w:t xml:space="preserve">Implement inbound provisioning via the SCIM / Microsoft Graph </w:t>
      </w:r>
      <w:r>
        <w:rPr>
          <w:rFonts w:ascii="Consolas" w:hAnsi="Consolas"/>
          <w:sz w:val="22"/>
        </w:rPr>
        <w:t>bulkUpload</w:t>
      </w:r>
      <w:r>
        <w:rPr>
          <w:sz w:val="22"/>
        </w:rPr>
        <w:t xml:space="preserve"> pipeline (the Spec2-D3.1 pattern) with one-person / one-identifier discipline across worker types.</w:t>
      </w:r>
    </w:p>
    <w:p>
      <w:pPr>
        <w:pStyle w:val="ListBullet"/>
      </w:pPr>
      <w:r>
        <w:rPr>
          <w:sz w:val="22"/>
        </w:rPr>
        <w:t>Execute the six-step leaver sequence and defend "deprovisioning is an HR event, not a ticket."</w:t>
      </w:r>
    </w:p>
    <w:p>
      <w:pPr>
        <w:pStyle w:val="ListBullet"/>
      </w:pPr>
      <w:r>
        <w:rPr>
          <w:sz w:val="22"/>
        </w:rPr>
        <w:t>Derive access from organizational-SSOT attributes (the derivation chain) and land attestation/recertification on the same rail.</w:t>
      </w:r>
    </w:p>
    <w:p>
      <w:pPr>
        <w:pStyle w:val="ListBullet"/>
      </w:pPr>
      <w:r>
        <w:rPr>
          <w:sz w:val="22"/>
        </w:rPr>
        <w:t>Instrument the measured lifecycle: provisioning latency, orphan count, attribute-drift metrics as ongoing evidence.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Fragmented truth → statutory frame → "why this cannot be patched."</w:t>
      </w:r>
    </w:p>
    <w:p>
      <w:pPr>
        <w:pStyle w:val="ListBullet"/>
      </w:pPr>
      <w:r>
        <w:rPr>
          <w:sz w:val="22"/>
        </w:rPr>
        <w:t>Four record families of the human-capital system; authoritative vs. derived attributes.</w:t>
      </w:r>
    </w:p>
    <w:p>
      <w:pPr>
        <w:pStyle w:val="ListBullet"/>
      </w:pPr>
      <w:r>
        <w:rPr>
          <w:sz w:val="22"/>
        </w:rPr>
        <w:t>The lifecycle as an event stream: joiner / mover / converter / suspender / leaver.</w:t>
      </w:r>
    </w:p>
    <w:p>
      <w:pPr>
        <w:pStyle w:val="ListBullet"/>
      </w:pPr>
      <w:r>
        <w:rPr>
          <w:sz w:val="22"/>
        </w:rPr>
        <w:t>One person, one identifier; the worker-type boundary (employee, contractor, seasonal) as an attribute, not a second identity.</w:t>
      </w:r>
    </w:p>
    <w:p>
      <w:pPr>
        <w:pStyle w:val="ListBullet"/>
      </w:pPr>
      <w:r>
        <w:rPr>
          <w:sz w:val="22"/>
        </w:rPr>
        <w:t xml:space="preserve">SCIM 2.0 and Graph </w:t>
      </w:r>
      <w:r>
        <w:rPr>
          <w:rFonts w:ascii="Consolas" w:hAnsi="Consolas"/>
          <w:sz w:val="22"/>
        </w:rPr>
        <w:t>bulkUpload</w:t>
      </w:r>
      <w:r>
        <w:rPr>
          <w:sz w:val="22"/>
        </w:rPr>
        <w:t xml:space="preserve"> as the inbound provisioning rail.</w:t>
      </w:r>
    </w:p>
    <w:p>
      <w:pPr>
        <w:pStyle w:val="ListBullet"/>
      </w:pPr>
      <w:r>
        <w:rPr>
          <w:sz w:val="22"/>
        </w:rPr>
        <w:t>The six-step leaver: HR event → sessions revoked → credentials disabled → access removed → data disposition → record retained.</w:t>
      </w:r>
    </w:p>
    <w:p>
      <w:pPr>
        <w:pStyle w:val="ListBullet"/>
      </w:pPr>
      <w:r>
        <w:rPr>
          <w:sz w:val="22"/>
        </w:rPr>
        <w:t>Organizational SSOT: reporting structure as queryable data; the HR-attribute → entitlement derivation chain; attestation on the same rail.</w:t>
      </w:r>
    </w:p>
    <w:p>
      <w:pPr>
        <w:pStyle w:val="ListBullet"/>
      </w:pPr>
      <w:r>
        <w:rPr>
          <w:sz w:val="22"/>
        </w:rPr>
        <w:t>A SaaS integration surface is an identity-plane surface (governs every later book's SaaS additions).</w:t>
      </w:r>
    </w:p>
    <w:p>
      <w:pPr>
        <w:pStyle w:val="Heading2"/>
      </w:pPr>
      <w:r>
        <w:rPr>
          <w:color w:val="0D1B2E"/>
        </w:rPr>
        <w:t>Implementation sequence (phased, per the book)</w:t>
      </w:r>
    </w:p>
    <w:p>
      <w:pPr>
        <w:pStyle w:val="ListNumber"/>
      </w:pPr>
      <w:r>
        <w:rPr>
          <w:b/>
          <w:sz w:val="22"/>
        </w:rPr>
        <w:t>Phase 1 — attribute authority agreement (weeks 1–6):</w:t>
      </w:r>
      <w:r>
        <w:rPr>
          <w:sz w:val="22"/>
        </w:rPr>
        <w:t xml:space="preserve"> the signed contract of which system owns which attribute; no engineering until this exists.</w:t>
      </w:r>
    </w:p>
    <w:p>
      <w:pPr>
        <w:pStyle w:val="ListNumber"/>
      </w:pPr>
      <w:r>
        <w:rPr>
          <w:b/>
          <w:sz w:val="22"/>
        </w:rPr>
        <w:t>Phase 2 — inbound provisioning pilot (weeks 7–14):</w:t>
      </w:r>
      <w:r>
        <w:rPr>
          <w:sz w:val="22"/>
        </w:rPr>
        <w:t xml:space="preserve"> SCIM/Graph </w:t>
      </w:r>
      <w:r>
        <w:rPr>
          <w:rFonts w:ascii="Consolas" w:hAnsi="Consolas"/>
          <w:sz w:val="22"/>
        </w:rPr>
        <w:t>bulkUpload</w:t>
      </w:r>
      <w:r>
        <w:rPr>
          <w:sz w:val="22"/>
        </w:rPr>
        <w:t xml:space="preserve"> from HRIT to Entra for one population, shadow mode first.</w:t>
      </w:r>
    </w:p>
    <w:p>
      <w:pPr>
        <w:pStyle w:val="ListNumber"/>
      </w:pPr>
      <w:r>
        <w:rPr>
          <w:b/>
          <w:sz w:val="22"/>
        </w:rPr>
        <w:t>Phase 3 — lifecycle automation (weeks 15–26):</w:t>
      </w:r>
      <w:r>
        <w:rPr>
          <w:sz w:val="22"/>
        </w:rPr>
        <w:t xml:space="preserve"> all five events driving provisioning; six-step leaver live; orphan-account burn-down.</w:t>
      </w:r>
    </w:p>
    <w:p>
      <w:pPr>
        <w:pStyle w:val="ListNumber"/>
      </w:pPr>
      <w:r>
        <w:rPr>
          <w:b/>
          <w:sz w:val="22"/>
        </w:rPr>
        <w:t>Phase 4 — organizational-SSOT-derived access (weeks 27–40):</w:t>
      </w:r>
      <w:r>
        <w:rPr>
          <w:sz w:val="22"/>
        </w:rPr>
        <w:t xml:space="preserve"> entitlements derived from org attributes; attestation cycles running on the same data.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 xml:space="preserve">AC-2 (+1 automated account management), PS-4 (+2 automated termination actions), PS-5 personnel transfer, IA-4 (+4 identifier management with user status), SI-12 information management/retention. FedRAMP 20x: </w:t>
      </w:r>
      <w:r>
        <w:rPr>
          <w:b/>
          <w:sz w:val="22"/>
        </w:rPr>
        <w:t>binds evidence slot 1 — identity (KSI-IAM)</w:t>
      </w:r>
      <w:r>
        <w:rPr>
          <w:sz w:val="22"/>
        </w:rPr>
        <w:t xml:space="preserve"> — provisioning event records and leaver-sequence evidence are the artifacts.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03 (the credential plane these accounts receive); familiarity with Entra provisioning concepts helps. No Oracle HCM depth required — the book treats HRIT behaviorally, as the class of system of record.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Draft the attribute-authority matrix for a sample org: for ten attributes, name the owning system, the consumers, and the drift detection for each.</w:t>
      </w:r>
    </w:p>
    <w:p>
      <w:pPr>
        <w:pStyle w:val="ListNumber"/>
      </w:pPr>
      <w:r>
        <w:rPr>
          <w:sz w:val="22"/>
        </w:rPr>
        <w:t xml:space="preserve">Run a SCIM/Graph </w:t>
      </w:r>
      <w:r>
        <w:rPr>
          <w:rFonts w:ascii="Consolas" w:hAnsi="Consolas"/>
          <w:sz w:val="22"/>
        </w:rPr>
        <w:t>bulkUpload</w:t>
      </w:r>
      <w:r>
        <w:rPr>
          <w:sz w:val="22"/>
        </w:rPr>
        <w:t xml:space="preserve"> provisioning cycle in shadow mode against a test tenant; diff the would-be changes and promote one population to live.</w:t>
      </w:r>
    </w:p>
    <w:p>
      <w:pPr>
        <w:pStyle w:val="ListNumber"/>
      </w:pPr>
      <w:r>
        <w:rPr>
          <w:sz w:val="22"/>
        </w:rPr>
        <w:t>Fire a leaver event and trace all six steps, capturing timestamps for each as the PS-4(2) evidence record; verify the orphan count returns to zero.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Building provisioning before the attribute-authority agreement — engineering cements the fragmentation instead of fixing it.</w:t>
      </w:r>
    </w:p>
    <w:p>
      <w:pPr>
        <w:pStyle w:val="ListBullet"/>
      </w:pPr>
      <w:r>
        <w:rPr>
          <w:sz w:val="22"/>
        </w:rPr>
        <w:t>Ticket-driven deprovisioning surviving alongside the automated path: the ticket queue becomes the orphan-account factory.</w:t>
      </w:r>
    </w:p>
    <w:p>
      <w:pPr>
        <w:pStyle w:val="ListBullet"/>
      </w:pPr>
      <w:r>
        <w:rPr>
          <w:sz w:val="22"/>
        </w:rPr>
        <w:t>Second identities per worker type instead of one identifier with a worker-type attribute.</w:t>
      </w:r>
    </w:p>
    <w:p>
      <w:pPr>
        <w:pStyle w:val="ListBullet"/>
      </w:pPr>
      <w:r>
        <w:rPr>
          <w:sz w:val="22"/>
        </w:rPr>
        <w:t>Treating the org hierarchy as an HR reporting artifact rather than the access-derivation source — the derivation chain then decays into hand-maintained groups.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SC-300 (lifecycle workflows, entitlement management), SailPoint Identity University (joiner-mover-leaver governance).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03 · </w:t>
      </w:r>
      <w:r>
        <w:rPr>
          <w:b/>
          <w:sz w:val="22"/>
        </w:rPr>
        <w:t>Next:</w:t>
      </w:r>
      <w:r>
        <w:rPr>
          <w:sz w:val="22"/>
        </w:rPr>
        <w:t xml:space="preserve"> Book 05 — Network Modernization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