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09 — Database Consolidation &amp; Network Physics</w:t>
      </w:r>
    </w:p>
    <w:p>
      <w:r>
        <w:rPr>
          <w:i/>
          <w:color w:val="5A5A5A"/>
          <w:sz w:val="24"/>
        </w:rPr>
        <w:t>AAN module: logical vs. physical centralization under the speed-of-light constraint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Book_09 Database Consolidation &amp; Network Physics &lt;https://github.com/WhalerMike/uiao/blob/main/inbox/Application%20Aware%20Networking/Book_09_FedAAN_Database_Consolidation_Network_Physics.qmd&gt; · </w:t>
      </w:r>
      <w:r>
        <w:rPr>
          <w:b/>
          <w:sz w:val="22"/>
        </w:rPr>
        <w:t>Evidence slot:</w:t>
      </w:r>
      <w:r>
        <w:rPr>
          <w:sz w:val="22"/>
        </w:rPr>
        <w:t xml:space="preserve"> 3 — network (KSI-CNA, SC-8 / CA-7) · </w:t>
      </w:r>
      <w:r>
        <w:rPr>
          <w:b/>
          <w:sz w:val="22"/>
        </w:rPr>
        <w:t>Track modules:</w:t>
      </w:r>
      <w:r>
        <w:rPr>
          <w:sz w:val="22"/>
        </w:rPr>
        <w:t xml:space="preserve"> A3, B4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Where federal databases should live after the identity modernization of Books 07–08. </w:t>
      </w:r>
      <w:r>
        <w:rPr>
          <w:b/>
          <w:sz w:val="22"/>
        </w:rPr>
        <w:t>Logical centralization (one authoritative source per fact) is almost always correct; physical centralization is constrained by the speed-of-light propagation floor.</w:t>
      </w:r>
      <w:r>
        <w:rPr>
          <w:sz w:val="22"/>
        </w:rPr>
        <w:t xml:space="preserve"> Match each workload's consistency class to a network transport class, use SD-WAN to close the addressable latency gap, and use token-based security to consolidate without perimeter-driven fragmentation.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Distinguish logical from physical centralization and explain why conflating them causes unnecessary cost or fragmentation.</w:t>
      </w:r>
    </w:p>
    <w:p>
      <w:pPr>
        <w:pStyle w:val="ListBullet"/>
      </w:pPr>
      <w:r>
        <w:rPr>
          <w:sz w:val="22"/>
        </w:rPr>
        <w:t>Compute the physics floor for a fiber route (~200,000 km/s) and separate it from the addressable gap SD-WAN can attack.</w:t>
      </w:r>
    </w:p>
    <w:p>
      <w:pPr>
        <w:pStyle w:val="ListBullet"/>
      </w:pPr>
      <w:r>
        <w:rPr>
          <w:sz w:val="22"/>
        </w:rPr>
        <w:t>Classify workloads into the six consistency classes (strong/serializable, synchronous, async, bounded staleness, causal/CRDT, eventual) and pick a matching transport class.</w:t>
      </w:r>
    </w:p>
    <w:p>
      <w:pPr>
        <w:pStyle w:val="ListBullet"/>
      </w:pPr>
      <w:r>
        <w:rPr>
          <w:sz w:val="22"/>
        </w:rPr>
        <w:t>Design lean/fat traffic separation for database clusters (consensus heartbeats vs. backups/replication) with SD-WAN classification and DSCP marking.</w:t>
      </w:r>
    </w:p>
    <w:p>
      <w:pPr>
        <w:pStyle w:val="ListBullet"/>
      </w:pPr>
      <w:r>
        <w:rPr>
          <w:sz w:val="22"/>
        </w:rPr>
        <w:t>Explain how Entra token scope replaces the network perimeter as the primary database access control, enabling consolidation across segments.</w:t>
      </w:r>
    </w:p>
    <w:p>
      <w:pPr>
        <w:pStyle w:val="ListBullet"/>
      </w:pPr>
      <w:r>
        <w:rPr>
          <w:sz w:val="22"/>
        </w:rPr>
        <w:t>Design an SSOT architecture with one canonical source and multiple consistency-class projections.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speed-of-light tax: physics floor vs. addressable gap (e.g., DC–LA 27 ms floor vs. 65–90 ms observed).</w:t>
      </w:r>
    </w:p>
    <w:p>
      <w:pPr>
        <w:pStyle w:val="ListBullet"/>
      </w:pPr>
      <w:r>
        <w:rPr>
          <w:sz w:val="22"/>
        </w:rPr>
        <w:t>SD-WAN near-geodesic routing, FEC/packet duplication, traffic-class separation.</w:t>
      </w:r>
    </w:p>
    <w:p>
      <w:pPr>
        <w:pStyle w:val="ListBullet"/>
      </w:pPr>
      <w:r>
        <w:rPr>
          <w:sz w:val="22"/>
        </w:rPr>
        <w:t>The lean/fat design rule for replication topology.</w:t>
      </w:r>
    </w:p>
    <w:p>
      <w:pPr>
        <w:pStyle w:val="ListBullet"/>
      </w:pPr>
      <w:r>
        <w:rPr>
          <w:sz w:val="22"/>
        </w:rPr>
        <w:t>Six consistency classes mapped to transport classes; the federal workload classification table.</w:t>
      </w:r>
    </w:p>
    <w:p>
      <w:pPr>
        <w:pStyle w:val="ListBullet"/>
      </w:pPr>
      <w:r>
        <w:rPr>
          <w:sz w:val="22"/>
        </w:rPr>
        <w:t>"Physics Constrains, Token Liberates" and the other Federal Data Architecture Principles.</w:t>
      </w:r>
    </w:p>
    <w:p>
      <w:pPr>
        <w:pStyle w:val="ListBullet"/>
      </w:pPr>
      <w:r>
        <w:rPr>
          <w:sz w:val="22"/>
        </w:rPr>
        <w:t>SSOT: one truth, many projections.</w:t>
      </w:r>
    </w:p>
    <w:p>
      <w:pPr>
        <w:pStyle w:val="Heading2"/>
      </w:pPr>
      <w:r>
        <w:rPr>
          <w:color w:val="0D1B2E"/>
        </w:rPr>
        <w:t>Reading sequence</w:t>
      </w:r>
    </w:p>
    <w:p>
      <w:pPr>
        <w:spacing w:before="80" w:after="80"/>
      </w:pPr>
      <w:r>
        <w:rPr>
          <w:sz w:val="22"/>
        </w:rPr>
        <w:t>Architecture/principles-shaped: consolidation premise → logical vs. physical distinction → speed-of-light constraints → SD-WAN as the database's network ally → token-based security as consolidation enabler → consistency-to-transport matching → the five principles → NIST closure.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SC-28 (TDE), SC-8 (TLS + Arc certificate), SC-5 (SD-WAN QoS / lean-fat), SI-12 (SSOT retention), CA-3 (token-scoped exchange), SA-8, AU-9 (geo-replicated audit logs), CP-9, CP-10.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Books 01–06 (IPAM/DDI/PKI, SD-WAN/SASE) and Books 07–08 (SQL identity migration, Entra tokens, Managed Identity).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Measure RTT across simulated WAN links; compute physics floor vs. addressable gap; demonstrate the latency cost of strong-consistency reads over a high-latency link vs. bounded-staleness replica reads.</w:t>
      </w:r>
    </w:p>
    <w:p>
      <w:pPr>
        <w:pStyle w:val="ListNumber"/>
      </w:pPr>
      <w:r>
        <w:rPr>
          <w:sz w:val="22"/>
        </w:rPr>
        <w:t>Configure DSCP marking to separate a bulk backup transfer from consensus/heartbeat traffic and show quorum stability under load.</w:t>
      </w:r>
    </w:p>
    <w:p>
      <w:pPr>
        <w:pStyle w:val="ListNumber"/>
      </w:pPr>
      <w:r>
        <w:rPr>
          <w:sz w:val="22"/>
        </w:rPr>
        <w:t>Build a replication-lag monitor that redirects reads to the primary when a replica exceeds its staleness bound.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Globally distributed databases with strong consistency for all reads — the source of "mysteriously" high read latency.</w:t>
      </w:r>
    </w:p>
    <w:p>
      <w:pPr>
        <w:pStyle w:val="ListBullet"/>
      </w:pPr>
      <w:r>
        <w:rPr>
          <w:sz w:val="22"/>
        </w:rPr>
        <w:t>Operating without explicit consistency-class assignment (implicit strong-consistency-everywhere).</w:t>
      </w:r>
    </w:p>
    <w:p>
      <w:pPr>
        <w:pStyle w:val="ListBullet"/>
      </w:pPr>
      <w:r>
        <w:rPr>
          <w:sz w:val="22"/>
        </w:rPr>
        <w:t>Running lean and fat traffic on one path — backups delay quorum heartbeats and cause failover flapping.</w:t>
      </w:r>
    </w:p>
    <w:p>
      <w:pPr>
        <w:pStyle w:val="ListBullet"/>
      </w:pPr>
      <w:r>
        <w:rPr>
          <w:sz w:val="22"/>
        </w:rPr>
        <w:t>Maintaining the same fact independently in multiple systems instead of one canonical source with derived projections.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DP-300, AZ-700.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08 · </w:t>
      </w:r>
      <w:r>
        <w:rPr>
          <w:b/>
          <w:sz w:val="22"/>
        </w:rPr>
        <w:t>Next:</w:t>
      </w:r>
      <w:r>
        <w:rPr>
          <w:sz w:val="22"/>
        </w:rPr>
        <w:t xml:space="preserve"> Book 10 — Privileged Access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