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D1B2E"/>
        </w:rPr>
        <w:t>Book 12 — Data Protection (Purview)</w:t>
      </w:r>
    </w:p>
    <w:p>
      <w:r>
        <w:rPr>
          <w:i/>
          <w:color w:val="5A5A5A"/>
          <w:sz w:val="24"/>
        </w:rPr>
        <w:t>AAN module: closing the payload gap — CUI labeling, three-surface DLP, and agency-controlled keys</w:t>
      </w:r>
    </w:p>
    <w:p>
      <w:r>
        <w:rPr>
          <w:color w:val="1E8C8C"/>
          <w:sz w:val="18"/>
        </w:rPr>
        <w:t>Federal AAN Training Program — companion material for the federal AAN book series; not part of UIAO.</w:t>
      </w:r>
    </w:p>
    <w:p>
      <w:pPr>
        <w:spacing w:before="80" w:after="80"/>
      </w:pPr>
      <w:r>
        <w:rPr>
          <w:b/>
          <w:sz w:val="22"/>
        </w:rPr>
        <w:t>Source:</w:t>
      </w:r>
      <w:r>
        <w:rPr>
          <w:sz w:val="22"/>
        </w:rPr>
        <w:t xml:space="preserve"> Book_12 Data Protection Purview &lt;https://github.com/WhalerMike/uiao/blob/main/inbox/Application%20Aware%20Networking/Book_12_FedAAN_Data_Protection_Purview.qmd&gt; · </w:t>
      </w:r>
      <w:r>
        <w:rPr>
          <w:b/>
          <w:sz w:val="22"/>
        </w:rPr>
        <w:t>Evidence slot:</w:t>
      </w:r>
      <w:r>
        <w:rPr>
          <w:sz w:val="22"/>
        </w:rPr>
        <w:t xml:space="preserve"> 4 — telemetry (KSI-MLA, CA-7 / SI-4) · </w:t>
      </w:r>
      <w:r>
        <w:rPr>
          <w:b/>
          <w:sz w:val="22"/>
        </w:rPr>
        <w:t>Track modules:</w:t>
      </w:r>
      <w:r>
        <w:rPr>
          <w:sz w:val="22"/>
        </w:rPr>
        <w:t xml:space="preserve"> A4, B6</w:t>
      </w:r>
    </w:p>
    <w:p>
      <w:pPr>
        <w:pStyle w:val="Heading2"/>
      </w:pPr>
      <w:r>
        <w:rPr>
          <w:color w:val="0D1B2E"/>
        </w:rPr>
        <w:t>Scope</w:t>
      </w:r>
    </w:p>
    <w:p>
      <w:pPr>
        <w:spacing w:before="80" w:after="80"/>
      </w:pPr>
      <w:r>
        <w:rPr>
          <w:sz w:val="22"/>
        </w:rPr>
        <w:t xml:space="preserve">Closes the "payload gap" left after network/identity hardening: the pipe is regulated but the content is opaque. A federal CUI classification taxonomy enforced via Purview sensitivity labels, DLP across three enforcement surfaces, and agency-controlled cryptographic key management in Azure Key Vault. </w:t>
      </w:r>
      <w:r>
        <w:rPr>
          <w:b/>
          <w:sz w:val="22"/>
        </w:rPr>
        <w:t>Both pipe and payload controls are required for FedRAMP Moderate.</w:t>
      </w:r>
    </w:p>
    <w:p>
      <w:pPr>
        <w:pStyle w:val="Heading2"/>
      </w:pPr>
      <w:r>
        <w:rPr>
          <w:color w:val="0D1B2E"/>
        </w:rPr>
        <w:t>Learning objectives</w:t>
      </w:r>
    </w:p>
    <w:p>
      <w:pPr>
        <w:pStyle w:val="ListBullet"/>
      </w:pPr>
      <w:r>
        <w:rPr>
          <w:sz w:val="22"/>
        </w:rPr>
        <w:t>Explain why CASB/network controls alone cannot prevent exfiltration of unclassified-but-sensitive content.</w:t>
      </w:r>
    </w:p>
    <w:p>
      <w:pPr>
        <w:pStyle w:val="ListBullet"/>
      </w:pPr>
      <w:r>
        <w:rPr>
          <w:sz w:val="22"/>
        </w:rPr>
        <w:t>Map the federal CUI framework (EO 13556, NARA CUI Registry) — Public, Internal, CUI-Basic, CUI-Specified — to a parent/child Purview label taxonomy created via Security &amp; Compliance PowerShell.</w:t>
      </w:r>
    </w:p>
    <w:p>
      <w:pPr>
        <w:pStyle w:val="ListBullet"/>
      </w:pPr>
      <w:r>
        <w:rPr>
          <w:sz w:val="22"/>
        </w:rPr>
        <w:t>Build automatic labeling with pre-built and custom Sensitive Information Types and trainable classifiers, deployed in simulation mode first.</w:t>
      </w:r>
    </w:p>
    <w:p>
      <w:pPr>
        <w:pStyle w:val="ListBullet"/>
      </w:pPr>
      <w:r>
        <w:rPr>
          <w:sz w:val="22"/>
        </w:rPr>
        <w:t>Implement the DLP baseline across service-layer (SharePoint/OneDrive/Exchange/Teams), Endpoint DLP (print/USB/clipboard/ upload), and CASB network-layer surfaces.</w:t>
      </w:r>
    </w:p>
    <w:p>
      <w:pPr>
        <w:pStyle w:val="ListBullet"/>
      </w:pPr>
      <w:r>
        <w:rPr>
          <w:sz w:val="22"/>
        </w:rPr>
        <w:t>Deploy Key Vault Premium (HSM, FIPS 140-2 Level 2) with CMK for SQL TDE and SharePoint BYOK, Managed Identity RBAC, and a 12-month rotation policy.</w:t>
      </w:r>
    </w:p>
    <w:p>
      <w:pPr>
        <w:pStyle w:val="ListBullet"/>
      </w:pPr>
      <w:r>
        <w:rPr>
          <w:sz w:val="22"/>
        </w:rPr>
        <w:t>Distinguish AU-12 (audit generation) from AU-10 (non-repudiation) and configure Purview Audit Premium tiered retention.</w:t>
      </w:r>
    </w:p>
    <w:p>
      <w:pPr>
        <w:pStyle w:val="ListBullet"/>
      </w:pPr>
      <w:r>
        <w:rPr>
          <w:sz w:val="22"/>
        </w:rPr>
        <w:t>Structure a Certificate Practice Statement per RFC 3647 (SC-17).</w:t>
      </w:r>
    </w:p>
    <w:p>
      <w:pPr>
        <w:pStyle w:val="Heading2"/>
      </w:pPr>
      <w:r>
        <w:rPr>
          <w:color w:val="0D1B2E"/>
        </w:rPr>
        <w:t>Key concepts</w:t>
      </w:r>
    </w:p>
    <w:p>
      <w:pPr>
        <w:pStyle w:val="ListBullet"/>
      </w:pPr>
      <w:r>
        <w:rPr>
          <w:sz w:val="22"/>
        </w:rPr>
        <w:t>Four-tier CUI label taxonomy with escalating protections.</w:t>
      </w:r>
    </w:p>
    <w:p>
      <w:pPr>
        <w:pStyle w:val="ListBullet"/>
      </w:pPr>
      <w:r>
        <w:rPr>
          <w:sz w:val="22"/>
        </w:rPr>
        <w:t>The Purview-labels-feed-the-CASB integration pattern (payload signal for network enforcement).</w:t>
      </w:r>
    </w:p>
    <w:p>
      <w:pPr>
        <w:pStyle w:val="ListBullet"/>
      </w:pPr>
      <w:r>
        <w:rPr>
          <w:sz w:val="22"/>
        </w:rPr>
        <w:t>Three DLP enforcement surfaces; custom SITs; trainable classifiers (50–500 samples).</w:t>
      </w:r>
    </w:p>
    <w:p>
      <w:pPr>
        <w:pStyle w:val="ListBullet"/>
      </w:pPr>
      <w:r>
        <w:rPr>
          <w:sz w:val="22"/>
        </w:rPr>
        <w:t>Four-level key hierarchy: offline root CA HSM → issuing CA in Key Vault → CMK → wrapped DEKs.</w:t>
      </w:r>
    </w:p>
    <w:p>
      <w:pPr>
        <w:pStyle w:val="ListBullet"/>
      </w:pPr>
      <w:r>
        <w:rPr>
          <w:sz w:val="22"/>
        </w:rPr>
        <w:t>Audit Premium events: MailItemsAccessed, SearchQueryInitiated, SensitivityLabel* (downgrade detection).</w:t>
      </w:r>
    </w:p>
    <w:p>
      <w:pPr>
        <w:pStyle w:val="ListBullet"/>
      </w:pPr>
      <w:r>
        <w:rPr>
          <w:sz w:val="22"/>
        </w:rPr>
        <w:t>Infoblox IPAM/DNS underpinning CRL/OCSP reliability.</w:t>
      </w:r>
    </w:p>
    <w:p>
      <w:pPr>
        <w:pStyle w:val="Heading2"/>
      </w:pPr>
      <w:r>
        <w:rPr>
          <w:color w:val="0D1B2E"/>
        </w:rPr>
        <w:t>Implementation sequence</w:t>
      </w:r>
    </w:p>
    <w:p>
      <w:pPr>
        <w:pStyle w:val="ListNumber"/>
      </w:pPr>
      <w:r>
        <w:rPr>
          <w:sz w:val="22"/>
        </w:rPr>
        <w:t>Create and publish the four-tier label taxonomy to all locations.</w:t>
      </w:r>
    </w:p>
    <w:p>
      <w:pPr>
        <w:pStyle w:val="ListNumber"/>
      </w:pPr>
      <w:r>
        <w:rPr>
          <w:sz w:val="22"/>
        </w:rPr>
        <w:t>Build custom SITs and trainable classifiers; auto-labeling in simulation → review → enforce.</w:t>
      </w:r>
    </w:p>
    <w:p>
      <w:pPr>
        <w:pStyle w:val="ListNumber"/>
      </w:pPr>
      <w:r>
        <w:rPr>
          <w:sz w:val="22"/>
        </w:rPr>
        <w:t>Deploy service-layer DLP baseline (block external share/send of CUI).</w:t>
      </w:r>
    </w:p>
    <w:p>
      <w:pPr>
        <w:pStyle w:val="ListNumber"/>
      </w:pPr>
      <w:r>
        <w:rPr>
          <w:sz w:val="22"/>
        </w:rPr>
        <w:t>Verify Defender for Endpoint onboarding, then deploy Endpoint DLP.</w:t>
      </w:r>
    </w:p>
    <w:p>
      <w:pPr>
        <w:pStyle w:val="ListNumber"/>
      </w:pPr>
      <w:r>
        <w:rPr>
          <w:sz w:val="22"/>
        </w:rPr>
        <w:t>Create Key Vault Premium (soft-delete, purge protection, RBAC); mint HSM CMKs.</w:t>
      </w:r>
    </w:p>
    <w:p>
      <w:pPr>
        <w:pStyle w:val="ListNumber"/>
      </w:pPr>
      <w:r>
        <w:rPr>
          <w:sz w:val="22"/>
        </w:rPr>
        <w:t>Migrate SQL TDE protector to CMK; automatic rotation (P12M).</w:t>
      </w:r>
    </w:p>
    <w:p>
      <w:pPr>
        <w:pStyle w:val="ListNumber"/>
      </w:pPr>
      <w:r>
        <w:rPr>
          <w:sz w:val="22"/>
        </w:rPr>
        <w:t>Enable Audit Premium with tiered retention (10-year privileged / 1-year default).</w:t>
      </w:r>
    </w:p>
    <w:p>
      <w:pPr>
        <w:pStyle w:val="ListNumber"/>
      </w:pPr>
      <w:r>
        <w:rPr>
          <w:sz w:val="22"/>
        </w:rPr>
        <w:t>Author the CPS per RFC 3647; verify CRL/OCSP reachability.</w:t>
      </w:r>
    </w:p>
    <w:p>
      <w:pPr>
        <w:pStyle w:val="Heading2"/>
      </w:pPr>
      <w:r>
        <w:rPr>
          <w:color w:val="0D1B2E"/>
        </w:rPr>
        <w:t>Compliance hooks</w:t>
      </w:r>
    </w:p>
    <w:p>
      <w:pPr>
        <w:spacing w:before="80" w:after="80"/>
      </w:pPr>
      <w:r>
        <w:rPr>
          <w:sz w:val="22"/>
        </w:rPr>
        <w:t>AC-4, AU-10, MP-2, MP-3, MP-4, MP-5, SC-12, SC-12(1), SC-13, SC-17, SC-28. NIST SP 800-171, SP 800-57 Part 1, FIPS 140-2 Level 2, NARA CUI Marking Handbook, RFC 3647. FedRAMP 20x KSIs: data protection, key management, non-repudiation, boundary protection.</w:t>
      </w:r>
    </w:p>
    <w:p>
      <w:pPr>
        <w:pStyle w:val="Heading2"/>
      </w:pPr>
      <w:r>
        <w:rPr>
          <w:color w:val="0D1B2E"/>
        </w:rPr>
        <w:t>Prerequisites</w:t>
      </w:r>
    </w:p>
    <w:p>
      <w:pPr>
        <w:spacing w:before="80" w:after="80"/>
      </w:pPr>
      <w:r>
        <w:rPr>
          <w:sz w:val="22"/>
        </w:rPr>
        <w:t>Books 01–11: PKI (01), SASE/CASB (02), Conditional Access (01–03), SQL TDE (04–05), PAM (07), SIEM context (08/10). Security &amp; Compliance PowerShell and Az modules.</w:t>
      </w:r>
    </w:p>
    <w:p>
      <w:pPr>
        <w:pStyle w:val="Heading2"/>
      </w:pPr>
      <w:r>
        <w:rPr>
          <w:color w:val="0D1B2E"/>
        </w:rPr>
        <w:t>Labs</w:t>
      </w:r>
    </w:p>
    <w:p>
      <w:pPr>
        <w:pStyle w:val="ListNumber"/>
      </w:pPr>
      <w:r>
        <w:rPr>
          <w:sz w:val="22"/>
        </w:rPr>
        <w:t>Build the label taxonomy and an auto-labeling policy in simulation mode; seed SharePoint with SSN-containing test docs; review the simulation report for false positives before enforcing.</w:t>
      </w:r>
    </w:p>
    <w:p>
      <w:pPr>
        <w:pStyle w:val="ListNumber"/>
      </w:pPr>
      <w:r>
        <w:rPr>
          <w:sz w:val="22"/>
        </w:rPr>
        <w:t>Create a custom SIT with keyword corroboration and a DLP rule blocking external email of matching content; verify the policy tip.</w:t>
      </w:r>
    </w:p>
    <w:p>
      <w:pPr>
        <w:pStyle w:val="ListNumber"/>
      </w:pPr>
      <w:r>
        <w:rPr>
          <w:sz w:val="22"/>
        </w:rPr>
        <w:t>Stand up Key Vault Premium, migrate an Azure SQL TDE protector to CMK, apply a rotation policy, and confirm key operations in Log Analytics.</w:t>
      </w:r>
    </w:p>
    <w:p>
      <w:pPr>
        <w:pStyle w:val="Heading2"/>
      </w:pPr>
      <w:r>
        <w:rPr>
          <w:color w:val="0D1B2E"/>
        </w:rPr>
        <w:t>Pitfalls the book calls out</w:t>
      </w:r>
    </w:p>
    <w:p>
      <w:pPr>
        <w:pStyle w:val="ListBullet"/>
      </w:pPr>
      <w:r>
        <w:rPr>
          <w:sz w:val="22"/>
        </w:rPr>
        <w:t>Publishing labels to only one location causes inconsistent classification — publish everywhere from day one.</w:t>
      </w:r>
    </w:p>
    <w:p>
      <w:pPr>
        <w:pStyle w:val="ListBullet"/>
      </w:pPr>
      <w:r>
        <w:rPr>
          <w:sz w:val="22"/>
        </w:rPr>
        <w:t>Enforcing auto-labeling without a simulation review can mislabel at scale and flood the help desk.</w:t>
      </w:r>
    </w:p>
    <w:p>
      <w:pPr>
        <w:pStyle w:val="ListBullet"/>
      </w:pPr>
      <w:r>
        <w:rPr>
          <w:sz w:val="22"/>
        </w:rPr>
        <w:t>Trainable classifiers trained on unrepresentative samples underperform (budget 3–4 weeks).</w:t>
      </w:r>
    </w:p>
    <w:p>
      <w:pPr>
        <w:pStyle w:val="ListBullet"/>
      </w:pPr>
      <w:r>
        <w:rPr>
          <w:sz w:val="22"/>
        </w:rPr>
        <w:t>Endpoint DLP silently misses devices not onboarded to Defender for Endpoint; never delete a compromised key version until data is re-encrypted.</w:t>
      </w:r>
    </w:p>
    <w:p>
      <w:pPr>
        <w:pStyle w:val="Heading2"/>
      </w:pPr>
      <w:r>
        <w:rPr>
          <w:color w:val="0D1B2E"/>
        </w:rPr>
        <w:t>Vendor training</w:t>
      </w:r>
    </w:p>
    <w:p>
      <w:pPr>
        <w:spacing w:before="80" w:after="80"/>
      </w:pPr>
      <w:r>
        <w:rPr>
          <w:sz w:val="22"/>
        </w:rPr>
        <w:t>SC-401, AZ-500.</w:t>
      </w:r>
    </w:p>
    <w:p>
      <w:pPr>
        <w:spacing w:before="80" w:after="80"/>
      </w:pPr>
      <w:r>
        <w:rPr>
          <w:b/>
          <w:sz w:val="22"/>
        </w:rPr>
        <w:t>Previous:</w:t>
      </w:r>
      <w:r>
        <w:rPr>
          <w:sz w:val="22"/>
        </w:rPr>
        <w:t xml:space="preserve"> Book 11 · </w:t>
      </w:r>
      <w:r>
        <w:rPr>
          <w:b/>
          <w:sz w:val="22"/>
        </w:rPr>
        <w:t>Next:</w:t>
      </w:r>
      <w:r>
        <w:rPr>
          <w:sz w:val="22"/>
        </w:rPr>
        <w:t xml:space="preserve"> Book 13 — SIEM / XDR Detection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