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13 — SIEM / XDR Detection</w:t>
      </w:r>
    </w:p>
    <w:p>
      <w:r>
        <w:rPr>
          <w:i/>
          <w:color w:val="5A5A5A"/>
          <w:sz w:val="24"/>
        </w:rPr>
        <w:t>AAN module: Sentinel detection engineering — from log warehouse to firing rules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Book_13 SIEM XDR Detection &lt;https://github.com/WhalerMike/uiao/blob/main/inbox/Application%20Aware%20Networking/Book_13_FedAAN_SIEM_XDR_Detection.qmd&gt; · </w:t>
      </w:r>
      <w:r>
        <w:rPr>
          <w:b/>
          <w:sz w:val="22"/>
        </w:rPr>
        <w:t>Evidence slots:</w:t>
      </w:r>
      <w:r>
        <w:rPr>
          <w:sz w:val="22"/>
        </w:rPr>
        <w:t xml:space="preserve"> 4 — telemetry (KSI-MLA); 6 — security (KSI-CMT) · </w:t>
      </w:r>
      <w:r>
        <w:rPr>
          <w:b/>
          <w:sz w:val="22"/>
        </w:rPr>
        <w:t>Track modules:</w:t>
      </w:r>
      <w:r>
        <w:rPr>
          <w:sz w:val="22"/>
        </w:rPr>
        <w:t xml:space="preserve"> A4, A6, B6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Converts the deep log pipeline built in Books 01–12 into an active detection and response capability. Thesis: </w:t>
      </w:r>
      <w:r>
        <w:rPr>
          <w:b/>
          <w:sz w:val="22"/>
        </w:rPr>
        <w:t>a log warehouse with no firing rules fails AU-6</w:t>
      </w:r>
      <w:r>
        <w:rPr>
          <w:sz w:val="22"/>
        </w:rPr>
        <w:t xml:space="preserve"> — "a SIEM with zero configured analytics rules does not pass." Covers Sentinel connectors, a 20-rule KQL detection library, UEBA, automation playbooks, the IR-8 documentation set, and three-tier AU-11 retention.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Articulate the FedRAMP AU-6 evidence standard (fired alert → incident ticket → response documentation → closure) and the log-aggregator-vs-SIEM distinction.</w:t>
      </w:r>
    </w:p>
    <w:p>
      <w:pPr>
        <w:pStyle w:val="ListBullet"/>
      </w:pPr>
      <w:r>
        <w:rPr>
          <w:sz w:val="22"/>
        </w:rPr>
        <w:t>Connect Infoblox NIOS (CEF/syslog), Entra ID, Microsoft 365 Defender, Zscaler/Netskope SASE, SQL/Defender for SQL, and Infoblox TIDE TAXII threat intel to Sentinel, with EPS sizing.</w:t>
      </w:r>
    </w:p>
    <w:p>
      <w:pPr>
        <w:pStyle w:val="ListBullet"/>
      </w:pPr>
      <w:r>
        <w:rPr>
          <w:sz w:val="22"/>
        </w:rPr>
        <w:t>Author and tune KQL analytics rules (DNS C2 beaconing, impossible travel, off-hours PIM activation, MFA fatigue, post-block NTLM) through the four-phase detection lifecycle.</w:t>
      </w:r>
    </w:p>
    <w:p>
      <w:pPr>
        <w:pStyle w:val="ListBullet"/>
      </w:pPr>
      <w:r>
        <w:rPr>
          <w:sz w:val="22"/>
        </w:rPr>
        <w:t>Explain Sentinel UEBA: investigation priority scores, peer-group deviation, entity pages, Identity Protection integration.</w:t>
      </w:r>
    </w:p>
    <w:p>
      <w:pPr>
        <w:pStyle w:val="ListBullet"/>
      </w:pPr>
      <w:r>
        <w:rPr>
          <w:sz w:val="22"/>
        </w:rPr>
        <w:t>Build automation rules and Logic App playbooks for suppression, enrichment, KEV-triggered device isolation, and compound-signal account disable.</w:t>
      </w:r>
    </w:p>
    <w:p>
      <w:pPr>
        <w:pStyle w:val="ListBullet"/>
      </w:pPr>
      <w:r>
        <w:rPr>
          <w:sz w:val="22"/>
        </w:rPr>
        <w:t>Assemble the seven IR artifacts assessors require and map Sentinel workflow to NIST SP 800-61 Rev 2 phases.</w:t>
      </w:r>
    </w:p>
    <w:p>
      <w:pPr>
        <w:pStyle w:val="ListBullet"/>
      </w:pPr>
      <w:r>
        <w:rPr>
          <w:sz w:val="22"/>
        </w:rPr>
        <w:t>Configure three-tier retention (90-day hot, archive to 3 years, WORM blob with legal hold) and reason about commitment-tier pricing.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Log warehouse vs. detection engine; the MTTD comparison (days-to-never → minutes).</w:t>
      </w:r>
    </w:p>
    <w:p>
      <w:pPr>
        <w:pStyle w:val="ListBullet"/>
      </w:pPr>
      <w:r>
        <w:rPr>
          <w:sz w:val="22"/>
        </w:rPr>
        <w:t xml:space="preserve">Detection lifecycle: author → historical test → deploy with </w:t>
      </w:r>
      <w:r>
        <w:rPr>
          <w:rFonts w:ascii="Consolas" w:hAnsi="Consolas"/>
          <w:sz w:val="22"/>
        </w:rPr>
        <w:t>createIncident:false</w:t>
      </w:r>
      <w:r>
        <w:rPr>
          <w:sz w:val="22"/>
        </w:rPr>
        <w:t xml:space="preserve"> tuning window → steady-state review.</w:t>
      </w:r>
    </w:p>
    <w:p>
      <w:pPr>
        <w:pStyle w:val="ListBullet"/>
      </w:pPr>
      <w:r>
        <w:rPr>
          <w:sz w:val="22"/>
        </w:rPr>
        <w:t>The 20-rule priority detection library keyed to series log sources.</w:t>
      </w:r>
    </w:p>
    <w:p>
      <w:pPr>
        <w:pStyle w:val="ListBullet"/>
      </w:pPr>
      <w:r>
        <w:rPr>
          <w:sz w:val="22"/>
        </w:rPr>
        <w:t>UEBA investigation priority score; Defender for Identity during hybrid AD transition.</w:t>
      </w:r>
    </w:p>
    <w:p>
      <w:pPr>
        <w:pStyle w:val="ListBullet"/>
      </w:pPr>
      <w:r>
        <w:rPr>
          <w:sz w:val="22"/>
        </w:rPr>
        <w:t>Two-level automation: Sentinel automation rules + Logic App playbooks (enrich → notify → contain).</w:t>
      </w:r>
    </w:p>
    <w:p>
      <w:pPr>
        <w:pStyle w:val="ListBullet"/>
      </w:pPr>
      <w:r>
        <w:rPr>
          <w:sz w:val="22"/>
        </w:rPr>
        <w:t>TIDE TAXII IOC auto-correlation every 15 minutes; NARA GRS 3.2 three-year floor; OMB M-20-04 1-hour US-CERT reporting.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Deploy Sentinel connectors for all Books 01–12 sources; verify ingestion health per table.</w:t>
      </w:r>
    </w:p>
    <w:p>
      <w:pPr>
        <w:pStyle w:val="ListNumber"/>
      </w:pPr>
      <w:r>
        <w:rPr>
          <w:sz w:val="22"/>
        </w:rPr>
        <w:t>Configure per-table retention plus WORM blob export.</w:t>
      </w:r>
    </w:p>
    <w:p>
      <w:pPr>
        <w:pStyle w:val="ListNumber"/>
      </w:pPr>
      <w:r>
        <w:rPr>
          <w:sz w:val="22"/>
        </w:rPr>
        <w:t>Deploy the KQL-included priority rules in tuning mode; promote after two weeks of false-positive review.</w:t>
      </w:r>
    </w:p>
    <w:p>
      <w:pPr>
        <w:pStyle w:val="ListNumber"/>
      </w:pPr>
      <w:r>
        <w:rPr>
          <w:sz w:val="22"/>
        </w:rPr>
        <w:t>Roll out the remaining detections once the first set is stable.</w:t>
      </w:r>
    </w:p>
    <w:p>
      <w:pPr>
        <w:pStyle w:val="ListNumber"/>
      </w:pPr>
      <w:r>
        <w:rPr>
          <w:sz w:val="22"/>
        </w:rPr>
        <w:t>Enable UEBA (plus Defender for Identity if hybrid AD remains) and TIDE TAXII intel.</w:t>
      </w:r>
    </w:p>
    <w:p>
      <w:pPr>
        <w:pStyle w:val="ListNumber"/>
      </w:pPr>
      <w:r>
        <w:rPr>
          <w:sz w:val="22"/>
        </w:rPr>
        <w:t>Build automation: suppression watchlists, enrichment playbook, ServiceNow/Teams notification, gated isolation and account-disable playbooks.</w:t>
      </w:r>
    </w:p>
    <w:p>
      <w:pPr>
        <w:pStyle w:val="ListNumber"/>
      </w:pPr>
      <w:r>
        <w:rPr>
          <w:sz w:val="22"/>
        </w:rPr>
        <w:t>Author the IR plan and seven artifacts; run the annual tabletop.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AU-6, AU-6(1), AU-6(4), AU-7, AU-8, AU-11, SI-4, SI-4(2)(4)(7), IR-4, IR-6, IR-8. NIST SP 800-61 Rev 2; NARA GRS 3.2; OMB M-20-04. FedRAMP 20x KSI families: KSI-AU, KSI-SI, KSI-IR.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The full log pipeline from Books 01–12 (Infoblox syslog/RPZ/DNSSEC, SASE flow telemetry, Entra sign-in/audit, SQL continuous audit, Defender for Endpoint, PAM, vulnerability posture). Working KQL and Logic Apps knowledge.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 xml:space="preserve">Build the CEF forwarder path for Infoblox, validate </w:t>
      </w:r>
      <w:r>
        <w:rPr>
          <w:rFonts w:ascii="Consolas" w:hAnsi="Consolas"/>
          <w:sz w:val="22"/>
        </w:rPr>
        <w:t>CommonSecurityLog</w:t>
      </w:r>
      <w:r>
        <w:rPr>
          <w:sz w:val="22"/>
        </w:rPr>
        <w:t xml:space="preserve"> ingestion, deploy the DNS C2 beacon rule, and tune its threshold against a simulated beaconing script.</w:t>
      </w:r>
    </w:p>
    <w:p>
      <w:pPr>
        <w:pStyle w:val="ListNumber"/>
      </w:pPr>
      <w:r>
        <w:rPr>
          <w:sz w:val="22"/>
        </w:rPr>
        <w:t>Implement the MFA-fatigue KQL rule and an enrichment playbook that appends Entra risk level and device compliance as incident comments.</w:t>
      </w:r>
    </w:p>
    <w:p>
      <w:pPr>
        <w:pStyle w:val="ListNumber"/>
      </w:pPr>
      <w:r>
        <w:rPr>
          <w:sz w:val="22"/>
        </w:rPr>
        <w:t>Configure the three-tier retention architecture including a WORM container with a 1,095-day immutability policy; produce the AU-11 evidence export.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 xml:space="preserve">Trusting every incident immediately (SOC overload) or ignoring the tuning window — use the two-week </w:t>
      </w:r>
      <w:r>
        <w:rPr>
          <w:rFonts w:ascii="Consolas" w:hAnsi="Consolas"/>
          <w:sz w:val="22"/>
        </w:rPr>
        <w:t>createIncident:false</w:t>
      </w:r>
      <w:r>
        <w:rPr>
          <w:sz w:val="22"/>
        </w:rPr>
        <w:t xml:space="preserve"> pattern.</w:t>
      </w:r>
    </w:p>
    <w:p>
      <w:pPr>
        <w:pStyle w:val="ListBullet"/>
      </w:pPr>
      <w:r>
        <w:rPr>
          <w:sz w:val="22"/>
        </w:rPr>
        <w:t>Triggering automated isolation on vulnerability presence rather than confirmed exploit status; gate non-workstation classes behind approval.</w:t>
      </w:r>
    </w:p>
    <w:p>
      <w:pPr>
        <w:pStyle w:val="ListBullet"/>
      </w:pPr>
      <w:r>
        <w:rPr>
          <w:sz w:val="22"/>
        </w:rPr>
        <w:t>A SIEM where every rule is disabled "pending tuning" is still an AU-6 finding.</w:t>
      </w:r>
    </w:p>
    <w:p>
      <w:pPr>
        <w:pStyle w:val="ListBullet"/>
      </w:pPr>
      <w:r>
        <w:rPr>
          <w:sz w:val="22"/>
        </w:rPr>
        <w:t>Ignoring commitment-tier pricing past 100 GB/day leaves 15–65% savings on the table.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SC-200, Splunk / Elastic, SANS, CISA Learning, ServiceNow University.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12 · </w:t>
      </w:r>
      <w:r>
        <w:rPr>
          <w:b/>
          <w:sz w:val="22"/>
        </w:rPr>
        <w:t>Next:</w:t>
      </w:r>
      <w:r>
        <w:rPr>
          <w:sz w:val="22"/>
        </w:rPr>
        <w:t xml:space="preserve"> Book 14 — Business Continuity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