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16 — Program Management &amp; Governance</w:t>
      </w:r>
    </w:p>
    <w:p>
      <w:r>
        <w:rPr>
          <w:i/>
          <w:color w:val="5A5A5A"/>
          <w:sz w:val="24"/>
        </w:rPr>
        <w:t>AAN module: ISPP, RACI, risk register, and the signed SCRM charter that closes the PM family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Book_16 Program Management Governance &lt;https://github.com/WhalerMike/uiao/blob/main/inbox/Application%20Aware%20Networking/Book_16_FedAAN_Program_Management_Governance.qmd&gt; · </w:t>
      </w:r>
      <w:r>
        <w:rPr>
          <w:b/>
          <w:sz w:val="22"/>
        </w:rPr>
        <w:t>Evidence slot:</w:t>
      </w:r>
      <w:r>
        <w:rPr>
          <w:sz w:val="22"/>
        </w:rPr>
        <w:t xml:space="preserve"> 6 — security (KSI-CMT, CM-2 / AC-4) · </w:t>
      </w:r>
      <w:r>
        <w:rPr>
          <w:b/>
          <w:sz w:val="22"/>
        </w:rPr>
        <w:t>Track modules:</w:t>
      </w:r>
      <w:r>
        <w:rPr>
          <w:sz w:val="22"/>
        </w:rPr>
        <w:t xml:space="preserve"> A6, B7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organizational governance artifacts — templates, RACIs, registers, and a signed SCRM charter — that close nine NIST PM-family controls for FedRAMP 20x. Thesis: </w:t>
      </w:r>
      <w:r>
        <w:rPr>
          <w:b/>
          <w:sz w:val="22"/>
        </w:rPr>
        <w:t>PM controls are the organizational preconditions that contextualize all technical evidence</w:t>
      </w:r>
      <w:r>
        <w:rPr>
          <w:sz w:val="22"/>
        </w:rPr>
        <w:t>; without them (especially PM-30), the Book 15 SBOM pipeline is "a technical experiment rather than a governance artifact."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Draft an Information Security Program Plan (ISPP) covering purpose/scope, legal authority, objectives, and budget per PM-1/PM-7/PM-11.</w:t>
      </w:r>
    </w:p>
    <w:p>
      <w:pPr>
        <w:pStyle w:val="ListBullet"/>
      </w:pPr>
      <w:r>
        <w:rPr>
          <w:sz w:val="22"/>
        </w:rPr>
        <w:t>Construct a security leadership RACI assigning AO, CISO, ISSO, DevSecOps, SOC, and Privacy roles across ATO, POA&amp;M, incident response, and BOD 26-04 activities.</w:t>
      </w:r>
    </w:p>
    <w:p>
      <w:pPr>
        <w:pStyle w:val="ListBullet"/>
      </w:pPr>
      <w:r>
        <w:rPr>
          <w:sz w:val="22"/>
        </w:rPr>
        <w:t>Implement the three-layer system inventory (Azure Resource Graph, SBOM, Entra ID) with monthly reconciliation.</w:t>
      </w:r>
    </w:p>
    <w:p>
      <w:pPr>
        <w:pStyle w:val="ListBullet"/>
      </w:pPr>
      <w:r>
        <w:rPr>
          <w:sz w:val="22"/>
        </w:rPr>
        <w:t>Apply the NIST SP 800-39 three-tier risk framework and the 5×5 likelihood-impact matrix with its escalation thresholds.</w:t>
      </w:r>
    </w:p>
    <w:p>
      <w:pPr>
        <w:pStyle w:val="ListBullet"/>
      </w:pPr>
      <w:r>
        <w:rPr>
          <w:sz w:val="22"/>
        </w:rPr>
        <w:t>Build a testing/training/monitoring plan mapped to KSI themes.</w:t>
      </w:r>
    </w:p>
    <w:p>
      <w:pPr>
        <w:pStyle w:val="ListBullet"/>
      </w:pPr>
      <w:r>
        <w:rPr>
          <w:sz w:val="22"/>
        </w:rPr>
        <w:t>Draft a PM-30 SCRM Governance Charter with the five NIST SP 800-161r1 risk categories and supplier requirements.</w:t>
      </w:r>
    </w:p>
    <w:p>
      <w:pPr>
        <w:pStyle w:val="ListBullet"/>
      </w:pPr>
      <w:r>
        <w:rPr>
          <w:sz w:val="22"/>
        </w:rPr>
        <w:t>Maintain a PM-15 security contact registry (CISA, FedRAMP PMO, MS-ISAC, MSRC).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ISPP fillable template with FISMA/A-130/EO 14028 authority citations; named-individual requirement for AO/CISO.</w:t>
      </w:r>
    </w:p>
    <w:p>
      <w:pPr>
        <w:pStyle w:val="ListBullet"/>
      </w:pPr>
      <w:r>
        <w:rPr>
          <w:sz w:val="22"/>
        </w:rPr>
        <w:t>Three-layer inventory: Resource Graph export, Syft SBOM manifest, Entra identity plane.</w:t>
      </w:r>
    </w:p>
    <w:p>
      <w:pPr>
        <w:pStyle w:val="ListBullet"/>
      </w:pPr>
      <w:r>
        <w:rPr>
          <w:sz w:val="22"/>
        </w:rPr>
        <w:t>Risk scoring: Score = Likelihood × Impact; 1–4 accept, 5–9 90-day POA&amp;M, 10–15 30-day, 16–25 AO escalation in 15 days.</w:t>
      </w:r>
    </w:p>
    <w:p>
      <w:pPr>
        <w:pStyle w:val="ListBullet"/>
      </w:pPr>
      <w:r>
        <w:rPr>
          <w:sz w:val="22"/>
        </w:rPr>
        <w:t>SCRM organizational chart and the five supplier requirements (SBOM in 30 days, PSIRT/24h contact, 72h incident notice, VEX in 30 days, audit rights).</w:t>
      </w:r>
    </w:p>
    <w:p>
      <w:pPr>
        <w:pStyle w:val="ListBullet"/>
      </w:pPr>
      <w:r>
        <w:rPr>
          <w:sz w:val="22"/>
        </w:rPr>
        <w:t>Application lifecycle gates: Concept → Design → Build → Deploy → Operate.</w:t>
      </w:r>
    </w:p>
    <w:p>
      <w:pPr>
        <w:pStyle w:val="Heading2"/>
      </w:pPr>
      <w:r>
        <w:rPr>
          <w:color w:val="0D1B2E"/>
        </w:rPr>
        <w:t>Artifact sequence</w:t>
      </w:r>
    </w:p>
    <w:p>
      <w:pPr>
        <w:spacing w:before="80" w:after="80"/>
      </w:pPr>
      <w:r>
        <w:rPr>
          <w:sz w:val="22"/>
        </w:rPr>
        <w:t>Artifact-shaped rather than phase-dated: why PM controls gate authorization → ISPP + EA integration → leadership RACI → inventory framework → risk management strategy → T&amp;T&amp;M plan → contact registry → SCRM charter with signature block.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PM-1, PM-2, PM-5, PM-7, PM-9, PM-11, PM-14, PM-15, PM-30 (9 controls); references SR-2/3/5/6/8/10/11, SA-10, SA-11, AC-21, CM-8(1), CP-4, FIPS 199. FedRAMP 20x: KSI-SCR (KSI-015, KSI-016), KSI-003, and the per-theme monitoring dimensions.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15 (the SBOM pipeline is PM-30's technical backbone); references Books 06, 08, 09, 10, 11 per its integration appendix.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Complete the ISPP and RACI templates for a fictional system, replacing all fillable fields with named roles.</w:t>
      </w:r>
    </w:p>
    <w:p>
      <w:pPr>
        <w:pStyle w:val="ListNumber"/>
      </w:pPr>
      <w:r>
        <w:rPr>
          <w:sz w:val="22"/>
        </w:rPr>
        <w:t>Write the Azure Resource Graph inventory query and reconcile its output against a sample SBOM manifest, logging discrepancies as POA&amp;M items.</w:t>
      </w:r>
    </w:p>
    <w:p>
      <w:pPr>
        <w:pStyle w:val="ListNumber"/>
      </w:pPr>
      <w:r>
        <w:rPr>
          <w:sz w:val="22"/>
        </w:rPr>
        <w:t>Score five sample risks on the 5×5 matrix and assign responses and POA&amp;M deadlines per the thresholds.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Technical evidence without PM artifacts "cannot be contextualized" — governance is not optional paperwork.</w:t>
      </w:r>
    </w:p>
    <w:p>
      <w:pPr>
        <w:pStyle w:val="ListBullet"/>
      </w:pPr>
      <w:r>
        <w:rPr>
          <w:sz w:val="22"/>
        </w:rPr>
        <w:t>Inventory discrepancies unresolved within 30 days become POA&amp;M items; reconciliation must actually run monthly.</w:t>
      </w:r>
    </w:p>
    <w:p>
      <w:pPr>
        <w:pStyle w:val="ListBullet"/>
      </w:pPr>
      <w:r>
        <w:rPr>
          <w:sz w:val="22"/>
        </w:rPr>
        <w:t>Risk acceptance above score 4 must be time-bounded with AO concurrence.</w:t>
      </w:r>
    </w:p>
    <w:p>
      <w:pPr>
        <w:pStyle w:val="ListBullet"/>
      </w:pPr>
      <w:r>
        <w:rPr>
          <w:sz w:val="22"/>
        </w:rPr>
        <w:t>The SCRM charter is only PM-30 evidence when signed, dated, and version-controlled with supersession notes.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SC-100, ISACA (CISM / CRISC), ISC2, NIST NICE framework, ServiceNow University.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15 · </w:t>
      </w:r>
      <w:r>
        <w:rPr>
          <w:b/>
          <w:sz w:val="22"/>
        </w:rPr>
        <w:t>Next:</w:t>
      </w:r>
      <w:r>
        <w:rPr>
          <w:sz w:val="22"/>
        </w:rPr>
        <w:t xml:space="preserve"> Book 17 — PII Processing &amp; Transparency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