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Book 18 — Cybersecurity Training &amp; Awareness</w:t>
      </w:r>
    </w:p>
    <w:p>
      <w:r>
        <w:rPr>
          <w:i/>
          <w:color w:val="5A5A5A"/>
          <w:sz w:val="24"/>
        </w:rPr>
        <w:t>AAN module: the AT family as machine-readable evidence — the last KSI closes on a human participation record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spacing w:before="80" w:after="80"/>
      </w:pPr>
      <w:r>
        <w:rPr>
          <w:b/>
          <w:sz w:val="22"/>
        </w:rPr>
        <w:t>Source:</w:t>
      </w:r>
      <w:r>
        <w:rPr>
          <w:sz w:val="22"/>
        </w:rPr>
        <w:t xml:space="preserve"> Book_18 Cybersecurity Training Awareness &lt;https://github.com/WhalerMike/uiao/blob/main/inbox/Application%20Aware%20Networking/Book_18_FedAAN_Cybersecurity_Training_Awareness.qmd&gt; · </w:t>
      </w:r>
      <w:r>
        <w:rPr>
          <w:b/>
          <w:sz w:val="22"/>
        </w:rPr>
        <w:t>Evidence slot:</w:t>
      </w:r>
      <w:r>
        <w:rPr>
          <w:sz w:val="22"/>
        </w:rPr>
        <w:t xml:space="preserve"> 8 — training (KSI-CED, AT-2 / AT-3 / AT-4) · </w:t>
      </w:r>
      <w:r>
        <w:rPr>
          <w:b/>
          <w:sz w:val="22"/>
        </w:rPr>
        <w:t>Track modules:</w:t>
      </w:r>
      <w:r>
        <w:rPr>
          <w:sz w:val="22"/>
        </w:rPr>
        <w:t xml:space="preserve"> A8, B8</w:t>
      </w:r>
    </w:p>
    <w:p>
      <w:pPr>
        <w:pStyle w:val="Heading2"/>
      </w:pPr>
      <w:r>
        <w:rPr>
          <w:color w:val="0D1B2E"/>
        </w:rPr>
        <w:t>Scope</w:t>
      </w:r>
    </w:p>
    <w:p>
      <w:pPr>
        <w:spacing w:before="80" w:after="80"/>
      </w:pPr>
      <w:r>
        <w:rPr>
          <w:sz w:val="22"/>
        </w:rPr>
        <w:t xml:space="preserve">A four-dimension cybersecurity training program (general awareness, role-based, secure delivery, IR/DR) for a GCC Moderate boundary, with machine-readable completion evidence exported to the governance substrate. Thesis: </w:t>
      </w:r>
      <w:r>
        <w:rPr>
          <w:b/>
          <w:sz w:val="22"/>
        </w:rPr>
        <w:t>training is the one KSI that cannot be closed by architecture alone</w:t>
      </w:r>
      <w:r>
        <w:rPr>
          <w:sz w:val="22"/>
        </w:rPr>
        <w:t xml:space="preserve"> — it requires a human participation record, made continuously demonstrable via LMS export, to activate KSI-CED-RAT and complete all 29 CR26 KSIs.</w:t>
      </w:r>
    </w:p>
    <w:p>
      <w:pPr>
        <w:pStyle w:val="Heading2"/>
      </w:pPr>
      <w:r>
        <w:rPr>
          <w:color w:val="0D1B2E"/>
        </w:rPr>
        <w:t>Learning objectives</w:t>
      </w:r>
    </w:p>
    <w:p>
      <w:pPr>
        <w:pStyle w:val="ListBullet"/>
      </w:pPr>
      <w:r>
        <w:rPr>
          <w:sz w:val="22"/>
        </w:rPr>
        <w:t>Describe the four training dimensions KSI-CED-RAT evaluates and map each to its NIST control and evidence type.</w:t>
      </w:r>
    </w:p>
    <w:p>
      <w:pPr>
        <w:pStyle w:val="ListBullet"/>
      </w:pPr>
      <w:r>
        <w:rPr>
          <w:sz w:val="22"/>
        </w:rPr>
        <w:t>Design an AT-2 general awareness program (8 required modules) and select a GCC Moderate delivery platform.</w:t>
      </w:r>
    </w:p>
    <w:p>
      <w:pPr>
        <w:pStyle w:val="ListBullet"/>
      </w:pPr>
      <w:r>
        <w:rPr>
          <w:sz w:val="22"/>
        </w:rPr>
        <w:t>Build an AT-3 role-based training matrix across the six role tiers with frequencies and hour targets.</w:t>
      </w:r>
    </w:p>
    <w:p>
      <w:pPr>
        <w:pStyle w:val="ListBullet"/>
      </w:pPr>
      <w:r>
        <w:rPr>
          <w:sz w:val="22"/>
        </w:rPr>
        <w:t>Configure quarterly phishing simulation (AT-2(1)) with click-rate tracking and remedial-training triggers.</w:t>
      </w:r>
    </w:p>
    <w:p>
      <w:pPr>
        <w:pStyle w:val="ListBullet"/>
      </w:pPr>
      <w:r>
        <w:rPr>
          <w:sz w:val="22"/>
        </w:rPr>
        <w:t xml:space="preserve">Produce the </w:t>
      </w:r>
      <w:r>
        <w:rPr>
          <w:rFonts w:ascii="Consolas" w:hAnsi="Consolas"/>
          <w:sz w:val="22"/>
        </w:rPr>
        <w:t>training-effectiveness-record</w:t>
      </w:r>
      <w:r>
        <w:rPr>
          <w:sz w:val="22"/>
        </w:rPr>
        <w:t xml:space="preserve"> JSON and automate its monthly Viva Learning Graph API export.</w:t>
      </w:r>
    </w:p>
    <w:p>
      <w:pPr>
        <w:pStyle w:val="ListBullet"/>
      </w:pPr>
      <w:r>
        <w:rPr>
          <w:sz w:val="22"/>
        </w:rPr>
        <w:t>Plan the CP-3 quarterly tabletop calendar and IR-2 drill cadence, including after-action reports.</w:t>
      </w:r>
    </w:p>
    <w:p>
      <w:pPr>
        <w:pStyle w:val="ListBullet"/>
      </w:pPr>
      <w:r>
        <w:rPr>
          <w:sz w:val="22"/>
        </w:rPr>
        <w:t>State the PASS thresholds that flipped KSI-022 from scaffold to active.</w:t>
      </w:r>
    </w:p>
    <w:p>
      <w:pPr>
        <w:pStyle w:val="Heading2"/>
      </w:pPr>
      <w:r>
        <w:rPr>
          <w:color w:val="0D1B2E"/>
        </w:rPr>
        <w:t>Key concepts</w:t>
      </w:r>
    </w:p>
    <w:p>
      <w:pPr>
        <w:pStyle w:val="ListBullet"/>
      </w:pPr>
      <w:r>
        <w:rPr>
          <w:sz w:val="22"/>
        </w:rPr>
        <w:t>The KSI-CED-RAT four-dimension model ("persistently reviews" training).</w:t>
      </w:r>
    </w:p>
    <w:p>
      <w:pPr>
        <w:pStyle w:val="ListBullet"/>
      </w:pPr>
      <w:r>
        <w:rPr>
          <w:sz w:val="22"/>
        </w:rPr>
        <w:t>Six-tier AT-3 role matrix: sysadmins, privileged users, developers, IR responders, data stewards, executives.</w:t>
      </w:r>
    </w:p>
    <w:p>
      <w:pPr>
        <w:pStyle w:val="ListBullet"/>
      </w:pPr>
      <w:r>
        <w:rPr>
          <w:rFonts w:ascii="Consolas" w:hAnsi="Consolas"/>
          <w:sz w:val="22"/>
        </w:rPr>
        <w:t>governance.training-effectiveness-record</w:t>
      </w:r>
      <w:r>
        <w:rPr>
          <w:sz w:val="22"/>
        </w:rPr>
        <w:t xml:space="preserve"> JSON schema — the KSI-022 evidence contract.</w:t>
      </w:r>
    </w:p>
    <w:p>
      <w:pPr>
        <w:pStyle w:val="ListBullet"/>
      </w:pPr>
      <w:r>
        <w:rPr>
          <w:sz w:val="22"/>
        </w:rPr>
        <w:t>Viva Learning Graph API export (</w:t>
      </w:r>
      <w:r>
        <w:rPr>
          <w:rFonts w:ascii="Consolas" w:hAnsi="Consolas"/>
          <w:sz w:val="22"/>
        </w:rPr>
        <w:t>learningCourseActivities</w:t>
      </w:r>
      <w:r>
        <w:rPr>
          <w:sz w:val="22"/>
        </w:rPr>
        <w:t xml:space="preserve">, </w:t>
      </w:r>
      <w:r>
        <w:rPr>
          <w:rFonts w:ascii="Consolas" w:hAnsi="Consolas"/>
          <w:sz w:val="22"/>
        </w:rPr>
        <w:t>LearningAssignmentReport.Read.All</w:t>
      </w:r>
      <w:r>
        <w:rPr>
          <w:sz w:val="22"/>
        </w:rPr>
        <w:t>).</w:t>
      </w:r>
    </w:p>
    <w:p>
      <w:pPr>
        <w:pStyle w:val="ListBullet"/>
      </w:pPr>
      <w:r>
        <w:rPr>
          <w:sz w:val="22"/>
        </w:rPr>
        <w:t>Delivery-platform trade-space: Viva Learning, DoD Cyber Awareness Challenge, CISA materials, KnowBe4/Proofpoint, SANS.</w:t>
      </w:r>
    </w:p>
    <w:p>
      <w:pPr>
        <w:pStyle w:val="ListBullet"/>
      </w:pPr>
      <w:r>
        <w:rPr>
          <w:sz w:val="22"/>
        </w:rPr>
        <w:t>IR scenario library (five minimum GCC Moderate scenarios); CP-3 Q1–Q4 tabletop calendar.</w:t>
      </w:r>
    </w:p>
    <w:p>
      <w:pPr>
        <w:pStyle w:val="ListBullet"/>
      </w:pPr>
      <w:r>
        <w:rPr>
          <w:sz w:val="22"/>
        </w:rPr>
        <w:t>≥95% completion thresholds per dimension/tier for PASS.</w:t>
      </w:r>
    </w:p>
    <w:p>
      <w:pPr>
        <w:pStyle w:val="Heading2"/>
      </w:pPr>
      <w:r>
        <w:rPr>
          <w:color w:val="0D1B2E"/>
        </w:rPr>
        <w:t>Implementation sequence</w:t>
      </w:r>
    </w:p>
    <w:p>
      <w:pPr>
        <w:pStyle w:val="ListNumber"/>
      </w:pPr>
      <w:r>
        <w:rPr>
          <w:sz w:val="22"/>
        </w:rPr>
        <w:t>Phase 1 (weeks 1–4): designate owner, select LMS, assign role tiers, configure the Graph API export, enroll all staff.</w:t>
      </w:r>
    </w:p>
    <w:p>
      <w:pPr>
        <w:pStyle w:val="ListNumber"/>
      </w:pPr>
      <w:r>
        <w:rPr>
          <w:sz w:val="22"/>
        </w:rPr>
        <w:t>Phase 2 (weeks 5–12): launch the AT-2 campaign; launch Tier 1/Tier 3 tracks; run the first phishing simulation and the SBOM/Grype developer lab; schedule the IR drill.</w:t>
      </w:r>
    </w:p>
    <w:p>
      <w:pPr>
        <w:pStyle w:val="ListNumber"/>
      </w:pPr>
      <w:r>
        <w:rPr>
          <w:sz w:val="22"/>
        </w:rPr>
        <w:t>Phase 3 (weeks 13–16): deploy the monthly export Logic App; map to the JSON schema; ingest; validate KSI-022 PASS; archive the first after-action report.</w:t>
      </w:r>
    </w:p>
    <w:p>
      <w:pPr>
        <w:pStyle w:val="ListNumber"/>
      </w:pPr>
      <w:r>
        <w:rPr>
          <w:sz w:val="22"/>
        </w:rPr>
        <w:t>Phase 4 (ongoing): monthly exports, quarterly phishing campaigns, semi-annual IR drills, annual tabletop calendar and content refresh, quarterly ISSO dashboard review.</w:t>
      </w:r>
    </w:p>
    <w:p>
      <w:pPr>
        <w:pStyle w:val="Heading2"/>
      </w:pPr>
      <w:r>
        <w:rPr>
          <w:color w:val="0D1B2E"/>
        </w:rPr>
        <w:t>Compliance hooks</w:t>
      </w:r>
    </w:p>
    <w:p>
      <w:pPr>
        <w:spacing w:before="80" w:after="80"/>
      </w:pPr>
      <w:r>
        <w:rPr>
          <w:sz w:val="22"/>
        </w:rPr>
        <w:t>Closes 9 controls: AT-2, AT-2(1), AT-2(2), AT-3, AT-3(3), AT-3(5), AT-4, CP-3, IR-2; SA-16 for secure delivery. FedRAMP 20x: KSI-CED-RAT (KSI-022, "Reviewing All Training") — the final scaffold KSI, taking CR26 coverage to 29/29. NIST SP 800-50, SP 800-16; EO 14028; EO 13587; OMB M-22-09.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pacing w:before="80" w:after="80"/>
      </w:pPr>
      <w:r>
        <w:rPr>
          <w:sz w:val="22"/>
        </w:rPr>
        <w:t>Book 13 (Sentinel playbooks for IR-2), Book 14 (CP-2 plan and DR runbooks for CP-3), Book 15 (Syft/Grype/VEX pipeline for developer training), Book 16 (PM-14 plan, RACI), Book 17 (PT family for AT-3(5) PII training); the Tier 1 curriculum spans Books 01–11.</w:t>
      </w:r>
    </w:p>
    <w:p>
      <w:pPr>
        <w:pStyle w:val="Heading2"/>
      </w:pPr>
      <w:r>
        <w:rPr>
          <w:color w:val="0D1B2E"/>
        </w:rPr>
        <w:t>Labs</w:t>
      </w:r>
    </w:p>
    <w:p>
      <w:pPr>
        <w:pStyle w:val="ListNumber"/>
      </w:pPr>
      <w:r>
        <w:rPr>
          <w:sz w:val="22"/>
        </w:rPr>
        <w:t>Generate a CycloneDX SBOM with Syft, triage a Grype scan, and write VEX assertions — the book's own Tier 3 developer lab.</w:t>
      </w:r>
    </w:p>
    <w:p>
      <w:pPr>
        <w:pStyle w:val="ListNumber"/>
      </w:pPr>
      <w:r>
        <w:rPr>
          <w:sz w:val="22"/>
        </w:rPr>
        <w:t xml:space="preserve">Build the Graph API PowerShell export and transform the output into the </w:t>
      </w:r>
      <w:r>
        <w:rPr>
          <w:rFonts w:ascii="Consolas" w:hAnsi="Consolas"/>
          <w:sz w:val="22"/>
        </w:rPr>
        <w:t>training-effectiveness-record</w:t>
      </w:r>
      <w:r>
        <w:rPr>
          <w:sz w:val="22"/>
        </w:rPr>
        <w:t xml:space="preserve"> schema; validate the PASS logic.</w:t>
      </w:r>
    </w:p>
    <w:p>
      <w:pPr>
        <w:pStyle w:val="ListNumber"/>
      </w:pPr>
      <w:r>
        <w:rPr>
          <w:sz w:val="22"/>
        </w:rPr>
        <w:t>Run a phishing → credential theft → lateral movement tabletop from the IR scenario library, with an after-action write-up.</w:t>
      </w:r>
    </w:p>
    <w:p>
      <w:pPr>
        <w:pStyle w:val="Heading2"/>
      </w:pPr>
      <w:r>
        <w:rPr>
          <w:color w:val="0D1B2E"/>
        </w:rPr>
        <w:t>Pitfalls the book calls out</w:t>
      </w:r>
    </w:p>
    <w:p>
      <w:pPr>
        <w:pStyle w:val="ListBullet"/>
      </w:pPr>
      <w:r>
        <w:rPr>
          <w:sz w:val="22"/>
        </w:rPr>
        <w:t>A one-time training event satisfies nothing — KSI-CED-RAT demands persistent, machine-readable review.</w:t>
      </w:r>
    </w:p>
    <w:p>
      <w:pPr>
        <w:pStyle w:val="ListBullet"/>
      </w:pPr>
      <w:r>
        <w:rPr>
          <w:sz w:val="22"/>
        </w:rPr>
        <w:t>Aggregate-only phishing statistics fail AT-4; results must tie to user identity.</w:t>
      </w:r>
    </w:p>
    <w:p>
      <w:pPr>
        <w:pStyle w:val="ListBullet"/>
      </w:pPr>
      <w:r>
        <w:rPr>
          <w:sz w:val="22"/>
        </w:rPr>
        <w:t>Lecture-based developer training is ineffective — the pipeline gets treated as a compliance hurdle instead of a partner.</w:t>
      </w:r>
    </w:p>
    <w:p>
      <w:pPr>
        <w:pStyle w:val="ListBullet"/>
      </w:pPr>
      <w:r>
        <w:rPr>
          <w:sz w:val="22"/>
        </w:rPr>
        <w:t>Data stewards who don't understand DLP policy intent will attempt workarounds.</w:t>
      </w:r>
    </w:p>
    <w:p>
      <w:pPr>
        <w:pStyle w:val="Heading2"/>
      </w:pPr>
      <w:r>
        <w:rPr>
          <w:color w:val="0D1B2E"/>
        </w:rPr>
        <w:t>Vendor training</w:t>
      </w:r>
    </w:p>
    <w:p>
      <w:pPr>
        <w:spacing w:before="80" w:after="80"/>
      </w:pPr>
      <w:r>
        <w:rPr>
          <w:sz w:val="22"/>
        </w:rPr>
        <w:t>SANS (awareness program design), CISA Learning, NIST NICE framework.</w:t>
      </w:r>
    </w:p>
    <w:p>
      <w:pPr>
        <w:spacing w:before="80" w:after="80"/>
      </w:pPr>
      <w:r>
        <w:rPr>
          <w:b/>
          <w:sz w:val="22"/>
        </w:rPr>
        <w:t>Previous:</w:t>
      </w:r>
      <w:r>
        <w:rPr>
          <w:sz w:val="22"/>
        </w:rPr>
        <w:t xml:space="preserve"> Book 17 · </w:t>
      </w:r>
      <w:r>
        <w:rPr>
          <w:b/>
          <w:sz w:val="22"/>
        </w:rPr>
        <w:t>Next:</w:t>
      </w:r>
      <w:r>
        <w:rPr>
          <w:sz w:val="22"/>
        </w:rPr>
        <w:t xml:space="preserve"> Book 19 — Authorization Package &amp; ConMon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