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0D1B2E"/>
        </w:rPr>
        <w:t>Lab environment — Purview data protection (Module B6)</w:t>
      </w:r>
    </w:p>
    <w:p>
      <w:r>
        <w:rPr>
          <w:i/>
          <w:color w:val="5A5A5A"/>
          <w:sz w:val="24"/>
        </w:rPr>
        <w:t>Label taxonomy, simulation-first auto-labeling and DLP, and a CMK in Key Vault Premium</w:t>
      </w:r>
    </w:p>
    <w:p>
      <w:r>
        <w:rPr>
          <w:color w:val="1E8C8C"/>
          <w:sz w:val="18"/>
        </w:rPr>
        <w:t>Federal AAN Training Program — companion material for the federal AAN book series; not part of UIAO.</w:t>
      </w:r>
    </w:p>
    <w:p>
      <w:pPr>
        <w:ind w:left="432"/>
        <w:shd w:val="clear" w:fill="F7F9FC"/>
      </w:pPr>
      <w:r>
        <w:rPr>
          <w:i/>
          <w:sz w:val="20"/>
        </w:rPr>
        <w:t xml:space="preserve">Part of the AAN Training Program — companion material for the federal AAN book series, not part of UIAO. Read the lab hub safety rules first. </w:t>
      </w:r>
      <w:r>
        <w:rPr>
          <w:b/>
          <w:i/>
          <w:sz w:val="20"/>
        </w:rPr>
        <w:t>Tier T: trial M365 E5 tenant + trial Azure subscription. Never production — DLP enforcement and label publishing are tenant-wide behaviors.</w:t>
      </w:r>
    </w:p>
    <w:p>
      <w:pPr>
        <w:spacing w:before="80" w:after="80"/>
      </w:pPr>
      <w:r>
        <w:rPr>
          <w:b/>
          <w:sz w:val="22"/>
        </w:rPr>
        <w:t>Supports:</w:t>
      </w:r>
      <w:r>
        <w:rPr>
          <w:sz w:val="22"/>
        </w:rPr>
        <w:t xml:space="preserve"> Book 12 labs · Module B6 · slot 4 — telemetry (KSI-MLA)</w:t>
      </w:r>
    </w:p>
    <w:p>
      <w:pPr>
        <w:pStyle w:val="Heading2"/>
      </w:pPr>
      <w:r>
        <w:rPr>
          <w:color w:val="0D1B2E"/>
        </w:rPr>
        <w:t>Prerequisites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Install-Module ExchangeOnlineManagement -Scope CurrentUser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Connect-IPPSSession   # Security &amp; Compliance PowerShell</w:t>
      </w:r>
    </w:p>
    <w:p>
      <w:pPr>
        <w:pStyle w:val="Heading2"/>
      </w:pPr>
      <w:r>
        <w:rPr>
          <w:color w:val="0D1B2E"/>
        </w:rPr>
        <w:t>Step 1 — the four-tier label taxonomy (Book 12's CUI mapping)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"Public"        -DisplayName "Public"        -Tooltip "Approved for release"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"Internal"      -DisplayName "Internal"      -Tooltip "Business data, not for release"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"CUI-Basic"     -DisplayName "CUI Basic"     -Tooltip "NARA CUI Registry - basic"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-EncryptionEnabled $true -EncryptionProtectionType Template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 -Name "CUI-Specified" -DisplayName "CUI Specified" -Tooltip "NARA CUI Registry - specified"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-EncryptionEnabled $true -EncryptionProtectionType Template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Publish EVERYWHERE from day one — Book 12's first pitfall is single-location publishing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New-LabelPolicy -Name "AAN-Lab-Labels" -Labels "Public","Internal","CUI-Basic","CUI-Specified"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            -ExchangeLocation All -SharePointLocation All -OneDriveLocation All</w:t>
      </w:r>
    </w:p>
    <w:p>
      <w:pPr>
        <w:pStyle w:val="Heading2"/>
      </w:pPr>
      <w:r>
        <w:rPr>
          <w:color w:val="0D1B2E"/>
        </w:rPr>
        <w:t>Step 2 — custom SIT + DLP in simulation mode</w:t>
      </w:r>
    </w:p>
    <w:p>
      <w:pPr>
        <w:spacing w:before="80" w:after="80"/>
      </w:pPr>
      <w:r>
        <w:rPr>
          <w:sz w:val="22"/>
        </w:rPr>
        <w:t xml:space="preserve">A corroborated custom SIT (pattern + keyword) and a DLP policy that starts in </w:t>
      </w:r>
      <w:r>
        <w:rPr>
          <w:b/>
          <w:sz w:val="22"/>
        </w:rPr>
        <w:t>simulation</w:t>
      </w:r>
      <w:r>
        <w:rPr>
          <w:sz w:val="22"/>
        </w:rPr>
        <w:t>, per Book 12's discipline: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# Custom SIT: employee ID "EMP" + 9 digits, corroborated by a keyword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$rulePack = New-DlpSensitiveInformationTypeRulePackage -FileData ([byte[]](Get-Content .\emp-sit.xml -Encoding Byte))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New-DlpCompliancePolicy -Name "AAN-Lab-CUI-DLP" -Mode TestWithNotifications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-ExchangeLocation All -SharePointLocation All -OneDriveLocation All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New-DlpComplianceRule -Name "Block external CUI share" -Policy "AAN-Lab-CUI-DLP"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-ContentContainsSensitiveInformation @{Name="U.S. Social Security Number (SSN)"; minCount="1"} `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-BlockAccess $true -BlockAccessScope PerUser -NotifyUser Owner</w:t>
      </w:r>
    </w:p>
    <w:p>
      <w:pPr>
        <w:spacing w:before="80" w:after="80"/>
      </w:pPr>
      <w:r>
        <w:rPr>
          <w:sz w:val="22"/>
        </w:rPr>
        <w:t>Seed SharePoint with test documents containing fake SSNs (</w:t>
      </w:r>
      <w:r>
        <w:rPr>
          <w:rFonts w:ascii="Consolas" w:hAnsi="Consolas"/>
          <w:sz w:val="22"/>
        </w:rPr>
        <w:t>078-05-1120</w:t>
      </w:r>
      <w:r>
        <w:rPr>
          <w:sz w:val="22"/>
        </w:rPr>
        <w:t xml:space="preserve"> style test values), wait for the simulation report, and review false positives </w:t>
      </w:r>
      <w:r>
        <w:rPr>
          <w:b/>
          <w:sz w:val="22"/>
        </w:rPr>
        <w:t>before</w:t>
      </w:r>
      <w:r>
        <w:rPr>
          <w:sz w:val="22"/>
        </w:rPr>
        <w:t xml:space="preserve"> switching </w:t>
      </w:r>
      <w:r>
        <w:rPr>
          <w:rFonts w:ascii="Consolas" w:hAnsi="Consolas"/>
          <w:sz w:val="22"/>
        </w:rPr>
        <w:t>-Mode</w:t>
      </w:r>
      <w:r>
        <w:rPr>
          <w:sz w:val="22"/>
        </w:rPr>
        <w:t xml:space="preserve"> to </w:t>
      </w:r>
      <w:r>
        <w:rPr>
          <w:rFonts w:ascii="Consolas" w:hAnsi="Consolas"/>
          <w:sz w:val="22"/>
        </w:rPr>
        <w:t>Enforce</w:t>
      </w:r>
      <w:r>
        <w:rPr>
          <w:sz w:val="22"/>
        </w:rPr>
        <w:t xml:space="preserve"> — mislabeling at scale is the pitfall Book 12 calls out.</w:t>
      </w:r>
    </w:p>
    <w:p>
      <w:pPr>
        <w:pStyle w:val="Heading2"/>
      </w:pPr>
      <w:r>
        <w:rPr>
          <w:color w:val="0D1B2E"/>
        </w:rPr>
        <w:t>Step 3 — Key Vault Premium + rotating CMK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create -n rg-aan-purview-lab -l eastus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create -n kv-aan-lab-$RANDOM -g rg-aan-purview-lab --sku premium \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  --enable-purge-protection true --enable-rbac-authorization true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key create --vault-name &lt;vault&gt; -n cmk-sql-tde --kty RSA-HSM --size 2048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keyvault key rotation-policy update --vault-name &lt;vault&gt; -n cmk-sql-tde --value '{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"lifetimeActions": [{"trigger": {"timeBeforeExpiry": "P30D"}, "action": {"type": "Rotate"}}],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 xml:space="preserve">  "attributes": {"expiryTime": "P12M"}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}'</w:t>
      </w:r>
    </w:p>
    <w:p>
      <w:pPr>
        <w:spacing w:before="80" w:after="80"/>
      </w:pPr>
      <w:r>
        <w:rPr>
          <w:sz w:val="22"/>
        </w:rPr>
        <w:t>Optional extension: point an Azure SQL test server's TDE protector at the key (</w:t>
      </w:r>
      <w:r>
        <w:rPr>
          <w:rFonts w:ascii="Consolas" w:hAnsi="Consolas"/>
          <w:sz w:val="22"/>
        </w:rPr>
        <w:t>az sql server tde-key set --server-key-type AzureKeyVault</w:t>
      </w:r>
      <w:r>
        <w:rPr>
          <w:sz w:val="22"/>
        </w:rPr>
        <w:t>) and confirm key operations land in the vault's diagnostic logs — Book 12's AU-12-vs-AU-10 distinction made concrete.</w:t>
      </w:r>
    </w:p>
    <w:p>
      <w:pPr>
        <w:pStyle w:val="Heading2"/>
      </w:pPr>
      <w:r>
        <w:rPr>
          <w:color w:val="0D1B2E"/>
        </w:rPr>
        <w:t>Bind the evidence</w:t>
      </w:r>
    </w:p>
    <w:p>
      <w:pPr>
        <w:spacing w:before="80" w:after="80"/>
      </w:pPr>
      <w:r>
        <w:rPr>
          <w:sz w:val="22"/>
        </w:rPr>
        <w:t>Three artifacts: the label policy export (</w:t>
      </w:r>
      <w:r>
        <w:rPr>
          <w:rFonts w:ascii="Consolas" w:hAnsi="Consolas"/>
          <w:sz w:val="22"/>
        </w:rPr>
        <w:t>Get-LabelPolicy | ConvertTo-Json</w:t>
      </w:r>
      <w:r>
        <w:rPr>
          <w:sz w:val="22"/>
        </w:rPr>
        <w:t>), the DLP simulation report, and the vault's key-rotation policy JSON. Together they evidence the MP/SC-12/28 closures Book 12 claims; score against the slot 4 rubric.</w:t>
      </w:r>
    </w:p>
    <w:p>
      <w:pPr>
        <w:pStyle w:val="Heading2"/>
      </w:pPr>
      <w:r>
        <w:rPr>
          <w:color w:val="0D1B2E"/>
        </w:rPr>
        <w:t>Teardown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Remove-DlpCompliancePolicy -Identity "AAN-Lab-CUI-DLP"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Remove-LabelPolicy -Identity "AAN-Lab-Labels"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"Public","Internal","CUI-Basic","CUI-Specified" | ForEach-Object { Remove-Label -Identity $_ }</w:t>
      </w:r>
    </w:p>
    <w:p>
      <w:pPr>
        <w:shd w:val="clear" w:fill="F2F4F7"/>
        <w:spacing w:before="0" w:after="0"/>
        <w:ind w:left="360"/>
      </w:pPr>
      <w:r>
        <w:rPr>
          <w:rFonts w:ascii="Consolas" w:hAnsi="Consolas"/>
          <w:sz w:val="18"/>
        </w:rPr>
        <w:t>az group delete -n rg-aan-purview-lab --yes --no-wait   # purge-protected vault ages out on its own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