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Sentinel detection (Module B6)</w:t>
      </w:r>
    </w:p>
    <w:p>
      <w:r>
        <w:rPr>
          <w:i/>
          <w:color w:val="5A5A5A"/>
          <w:sz w:val="24"/>
        </w:rPr>
        <w:t>One workspace, seeded signals, a tuned analytic rule, and the AU-6 evidence chain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companion material for the federal AAN book series, not part of UIAO. Read the lab hub safety rules first. </w:t>
      </w:r>
      <w:r>
        <w:rPr>
          <w:b/>
          <w:i/>
          <w:sz w:val="20"/>
        </w:rPr>
        <w:t>Tier T: trial Azure subscription; keep ingestion tiny — Sentinel bills per GB.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11 labs, Book 13 labs · Module B6 · slots 4 — telemetry (KSI-MLA) and 6 — security (KSI-CMT)</w:t>
      </w:r>
    </w:p>
    <w:p>
      <w:pPr>
        <w:pStyle w:val="Heading2"/>
      </w:pPr>
      <w:r>
        <w:rPr>
          <w:color w:val="0D1B2E"/>
        </w:rPr>
        <w:t>Step 1 — workspace + Sentinel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create -n rg-aan-lab -l eastus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monitor log-analytics workspace create -g rg-aan-lab -n law-aan-lab --retention-time 90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sentinel onboarding-state create -g rg-aan-lab --workspace-name law-aan-lab -n default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Connect the Entra ID data connector (sign-in + audit logs) in the portal: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Sentinel → Content hub → "Microsoft Entra ID" → install → connector page → connect.</w:t>
      </w:r>
    </w:p>
    <w:p>
      <w:pPr>
        <w:spacing w:before="80" w:after="80"/>
      </w:pPr>
      <w:r>
        <w:rPr>
          <w:sz w:val="22"/>
        </w:rPr>
        <w:t>The 90-day interactive retention mirrors Book 13's hot tier; archive and WORM tiers are portal exercises noted below.</w:t>
      </w:r>
    </w:p>
    <w:p>
      <w:pPr>
        <w:pStyle w:val="Heading2"/>
      </w:pPr>
      <w:r>
        <w:rPr>
          <w:color w:val="0D1B2E"/>
        </w:rPr>
        <w:t>Step 2 — the detection, with the tuning-window discipline</w:t>
      </w:r>
    </w:p>
    <w:p>
      <w:pPr>
        <w:spacing w:before="80" w:after="80"/>
      </w:pPr>
      <w:r>
        <w:rPr>
          <w:sz w:val="22"/>
        </w:rPr>
        <w:t xml:space="preserve">Book 13's MFA-fatigue rule, deployed the way the book requires — </w:t>
      </w:r>
      <w:r>
        <w:rPr>
          <w:b/>
          <w:sz w:val="22"/>
        </w:rPr>
        <w:t>incident creation off for the tuning window</w:t>
      </w:r>
      <w:r>
        <w:rPr>
          <w:sz w:val="22"/>
        </w:rPr>
        <w:t>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sentinel alert-rule create -g rg-aan-lab --workspace-name law-aan-lab -n mfa-fatigue \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--scheduled '{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"displayName": "MFA fatigue: &gt;10 denied/timeout MFA prompts in 20m",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"enabled": true, "severity": "Medium",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"query": "SigninLogs | where ResultType in (\"500121\") | summarize prompts=count() by UserPrincipalName, bin(TimeGenerated, 20m) | where prompts &gt; 10",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"queryFrequency": "PT20M", "queryPeriod": "PT20M",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"triggerOperator": "GreaterThan", "triggerThreshold": 0,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"suppressionEnabled": false, "suppressionDuration": "PT1H",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"incidentConfiguration": {"createIncident": false}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}'</w:t>
      </w:r>
    </w:p>
    <w:p>
      <w:pPr>
        <w:spacing w:before="80" w:after="80"/>
      </w:pPr>
      <w:r>
        <w:rPr>
          <w:sz w:val="22"/>
        </w:rPr>
        <w:t xml:space="preserve">Seed the signal: from a test account with MFA enabled, deny/ignore the push prompt repeatedly (or replay exported </w:t>
      </w:r>
      <w:r>
        <w:rPr>
          <w:rFonts w:ascii="Consolas" w:hAnsi="Consolas"/>
          <w:sz w:val="22"/>
        </w:rPr>
        <w:t>SigninLogs</w:t>
      </w:r>
      <w:r>
        <w:rPr>
          <w:sz w:val="22"/>
        </w:rPr>
        <w:t xml:space="preserve"> fixtures into a custom table with the Logs Ingestion API if you can't generate real prompts). Watch the rule fire in </w:t>
      </w:r>
      <w:r>
        <w:rPr>
          <w:b/>
          <w:sz w:val="22"/>
        </w:rPr>
        <w:t>Analytics → rule → results</w:t>
      </w:r>
      <w:r>
        <w:rPr>
          <w:sz w:val="22"/>
        </w:rPr>
        <w:t xml:space="preserve">, tune the threshold, and only then flip </w:t>
      </w:r>
      <w:r>
        <w:rPr>
          <w:rFonts w:ascii="Consolas" w:hAnsi="Consolas"/>
          <w:sz w:val="22"/>
        </w:rPr>
        <w:t>createIncident</w:t>
      </w:r>
      <w:r>
        <w:rPr>
          <w:sz w:val="22"/>
        </w:rPr>
        <w:t xml:space="preserve"> to </w:t>
      </w:r>
      <w:r>
        <w:rPr>
          <w:rFonts w:ascii="Consolas" w:hAnsi="Consolas"/>
          <w:sz w:val="22"/>
        </w:rPr>
        <w:t>true</w:t>
      </w:r>
      <w:r>
        <w:rPr>
          <w:sz w:val="22"/>
        </w:rPr>
        <w:t xml:space="preserve"> — that flip is the Book 13 promotion gate.</w:t>
      </w:r>
    </w:p>
    <w:p>
      <w:pPr>
        <w:pStyle w:val="Heading2"/>
      </w:pPr>
      <w:r>
        <w:rPr>
          <w:color w:val="0D1B2E"/>
        </w:rPr>
        <w:t>Step 3 — KEV cross-reference exercise (Book 11)</w:t>
      </w:r>
    </w:p>
    <w:p>
      <w:pPr>
        <w:spacing w:before="80" w:after="80"/>
      </w:pPr>
      <w:r>
        <w:rPr>
          <w:sz w:val="22"/>
        </w:rPr>
        <w:t>Runs anywhere with Python; produces the prioritization artifact: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kev_check.py — is a finding KEV-listed? (NVD/CVSS and KEV are unlinked)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import json, urllib.request, datetime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kev = json.load(urllib.request.urlopen(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"https://www.cisa.gov/sites/default/files/feeds/known_exploited_vulnerabilities.json"))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kev_ids = {v["cveID"]: v for v in kev["vulnerabilities"]}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findings = [  # pretend scanner output: (cve, cvss, internet_facing)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("CVE-2023-23397", 9.8, True), ("CVE-2024-99999", 9.0, True), ("CVE-2021-44228", 10.0, False),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]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for cve, cvss, exposed in findings: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if cve in kev_ids: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sla_days = 14 if exposed else 28   # BOD 22-01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due = datetime.date.today() + datetime.timedelta(days=sla_days)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print(f"P0 {cve} cvss={cvss} KEV ✅ due {due}")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else: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print(f"P2+ {cve} cvss={cvss} (not KEV — CVSS alone does not set the SLA)")</w:t>
      </w:r>
    </w:p>
    <w:p>
      <w:pPr>
        <w:spacing w:before="80" w:after="80"/>
      </w:pPr>
      <w:r>
        <w:rPr>
          <w:sz w:val="22"/>
        </w:rPr>
        <w:t xml:space="preserve">Note the outcome Book 11 predicts: a CVSS 9.0 non-KEV ranks </w:t>
      </w:r>
      <w:r>
        <w:rPr>
          <w:b/>
          <w:sz w:val="22"/>
        </w:rPr>
        <w:t>below</w:t>
      </w:r>
      <w:r>
        <w:rPr>
          <w:sz w:val="22"/>
        </w:rPr>
        <w:t xml:space="preserve"> a lower-scored KEV entry.</w:t>
      </w:r>
    </w:p>
    <w:p>
      <w:pPr>
        <w:pStyle w:val="Heading2"/>
      </w:pPr>
      <w:r>
        <w:rPr>
          <w:color w:val="0D1B2E"/>
        </w:rPr>
        <w:t>Step 4 — retention tiers (portal exercise)</w:t>
      </w:r>
    </w:p>
    <w:p>
      <w:pPr>
        <w:spacing w:before="80" w:after="80"/>
      </w:pPr>
      <w:r>
        <w:rPr>
          <w:sz w:val="22"/>
        </w:rPr>
        <w:t xml:space="preserve">Set one table (e.g., </w:t>
      </w:r>
      <w:r>
        <w:rPr>
          <w:rFonts w:ascii="Consolas" w:hAnsi="Consolas"/>
          <w:sz w:val="22"/>
        </w:rPr>
        <w:t>SigninLogs</w:t>
      </w:r>
      <w:r>
        <w:rPr>
          <w:sz w:val="22"/>
        </w:rPr>
        <w:t>) to 90-day interactive + total retention 730 days (Tables → retention), and create a storage account container with an immutability policy for the WORM export — Book 13's three-tier AU-11 architecture in miniature.</w:t>
      </w:r>
    </w:p>
    <w:p>
      <w:pPr>
        <w:pStyle w:val="Heading2"/>
      </w:pPr>
      <w:r>
        <w:rPr>
          <w:color w:val="0D1B2E"/>
        </w:rPr>
        <w:t>Bind the evidence</w:t>
      </w:r>
    </w:p>
    <w:p>
      <w:pPr>
        <w:spacing w:before="80" w:after="80"/>
      </w:pPr>
      <w:r>
        <w:rPr>
          <w:sz w:val="22"/>
        </w:rPr>
        <w:t>Export the fired-rule results and the incident (once promoted) — that chain (alert → incident → closure note) is the AU-6 evidence Book 13 says assessors actually probe. Score against the slot 4 and slot 6 rubrics.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delete -n rg-aan-lab --yes --no-wait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