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0D1B2E"/>
        </w:rPr>
        <w:t>AAN Track B — Implementation</w:t>
      </w:r>
    </w:p>
    <w:p>
      <w:r>
        <w:rPr>
          <w:i/>
          <w:color w:val="5A5A5A"/>
          <w:sz w:val="24"/>
        </w:rPr>
        <w:t>Building the architectures the 20 AAN books describe, and producing the evidence Track A consumes</w:t>
      </w:r>
    </w:p>
    <w:p>
      <w:r>
        <w:rPr>
          <w:color w:val="1E8C8C"/>
          <w:sz w:val="18"/>
        </w:rPr>
        <w:t>Federal AAN Training Program — companion material for the federal AAN book series; not part of UIAO.</w:t>
      </w:r>
    </w:p>
    <w:p>
      <w:pPr>
        <w:ind w:left="432"/>
        <w:shd w:val="clear" w:fill="F7F9FC"/>
      </w:pPr>
      <w:r>
        <w:rPr>
          <w:i/>
          <w:sz w:val="20"/>
        </w:rPr>
        <w:t xml:space="preserve">Part of the AAN Training Program — </w:t>
      </w:r>
      <w:r>
        <w:rPr>
          <w:b/>
          <w:i/>
          <w:sz w:val="20"/>
        </w:rPr>
        <w:t>companion material for the federal AAN book series, not part of UIAO.</w:t>
      </w:r>
      <w:r>
        <w:rPr>
          <w:i/>
          <w:sz w:val="20"/>
        </w:rPr>
        <w:t xml:space="preserve"> UIAO tooling appears here only because its conformance adapter consumes the books' evidence.</w:t>
      </w:r>
    </w:p>
    <w:p>
      <w:pPr>
        <w:spacing w:before="80" w:after="80"/>
      </w:pPr>
      <w:r>
        <w:rPr>
          <w:b/>
          <w:sz w:val="22"/>
        </w:rPr>
        <w:t>Audience:</w:t>
      </w:r>
      <w:r>
        <w:rPr>
          <w:sz w:val="22"/>
        </w:rPr>
        <w:t xml:space="preserve"> network, platform, database, identity, and security engineers. </w:t>
      </w:r>
      <w:r>
        <w:rPr>
          <w:b/>
          <w:sz w:val="22"/>
        </w:rPr>
        <w:t>Prerequisite:</w:t>
      </w:r>
      <w:r>
        <w:rPr>
          <w:sz w:val="22"/>
        </w:rPr>
        <w:t xml:space="preserve"> Module A0 (orientation) from the compliance track — you need the FedRAMP 20x timeline and the evidence-slot model in your head before you build, because every build here ends by </w:t>
      </w:r>
      <w:r>
        <w:rPr>
          <w:b/>
          <w:sz w:val="22"/>
        </w:rPr>
        <w:t>landing evidence</w:t>
      </w:r>
      <w:r>
        <w:rPr>
          <w:sz w:val="22"/>
        </w:rPr>
        <w:t xml:space="preserve">, not just by working. </w:t>
      </w:r>
      <w:r>
        <w:rPr>
          <w:b/>
          <w:sz w:val="22"/>
        </w:rPr>
        <w:t>Companion:</w:t>
      </w:r>
      <w:r>
        <w:rPr>
          <w:sz w:val="22"/>
        </w:rPr>
        <w:t xml:space="preserve"> each module lists the matching external courses from the vendor training catalog, and the lab environments hub provides scripted setups (fixture, trial-tenant, and product-eval tiers) for the labs below.</w:t>
      </w:r>
    </w:p>
    <w:p>
      <w:pPr>
        <w:pStyle w:val="Heading2"/>
      </w:pPr>
      <w:r>
        <w:rPr>
          <w:color w:val="0D1B2E"/>
        </w:rPr>
        <w:t>The rule of this track</w:t>
      </w:r>
    </w:p>
    <w:p>
      <w:pPr>
        <w:ind w:left="432"/>
        <w:shd w:val="clear" w:fill="F7F9FC"/>
      </w:pPr>
      <w:r>
        <w:rPr>
          <w:i/>
          <w:sz w:val="20"/>
        </w:rPr>
        <w:t xml:space="preserve">A module is done when the thing works </w:t>
      </w:r>
      <w:r>
        <w:rPr>
          <w:b/>
          <w:i/>
          <w:sz w:val="20"/>
        </w:rPr>
        <w:t>and</w:t>
      </w:r>
      <w:r>
        <w:rPr>
          <w:i/>
          <w:sz w:val="20"/>
        </w:rPr>
        <w:t xml:space="preserve"> the conformance adapter can see it. Every lab ends with an evidence artifact in a place the </w:t>
      </w:r>
      <w:r>
        <w:rPr>
          <w:rFonts w:ascii="Consolas" w:hAnsi="Consolas"/>
          <w:i/>
          <w:sz w:val="20"/>
        </w:rPr>
        <w:t>fedramp_aan_catalog</w:t>
      </w:r>
      <w:r>
        <w:rPr>
          <w:i/>
          <w:sz w:val="20"/>
        </w:rPr>
        <w:t xml:space="preserve"> &lt;https://github.com/WhalerMike/uiao/tree/main/src/uiao/adapters/fedramp_aan_catalog&gt; slot mappings can bind.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24040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p-fig-03-module-chai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5A5A"/>
          <w:sz w:val="18"/>
        </w:rPr>
        <w:t>Figure 1 — Track B sequencing: B1 → B2 → B3 → B4 is a real dependency chain; B5–B7 run in parallel after B2; B8 (authorize &amp; operate, Books 18–19) caps the track.</w:t>
      </w:r>
    </w:p>
    <w:p>
      <w:pPr>
        <w:pStyle w:val="Heading2"/>
      </w:pPr>
      <w:r>
        <w:rPr>
          <w:color w:val="0D1B2E"/>
        </w:rPr>
        <w:t>Module B1 — Landing zone, IPAM &amp; DDI (Book 01)</w:t>
      </w:r>
    </w:p>
    <w:p>
      <w:pPr>
        <w:pStyle w:val="ListBullet"/>
      </w:pPr>
      <w:r>
        <w:rPr>
          <w:b/>
          <w:sz w:val="22"/>
        </w:rPr>
        <w:t>Read:</w:t>
      </w:r>
      <w:r>
        <w:rPr>
          <w:sz w:val="22"/>
        </w:rPr>
        <w:t xml:space="preserve"> Book 01 (SSA Landing Zone, IPAM &amp; FedRAMP).</w:t>
      </w:r>
    </w:p>
    <w:p>
      <w:pPr>
        <w:pStyle w:val="ListBullet"/>
      </w:pPr>
      <w:r>
        <w:rPr>
          <w:b/>
          <w:sz w:val="22"/>
        </w:rPr>
        <w:t>Build:</w:t>
      </w:r>
      <w:r>
        <w:rPr>
          <w:sz w:val="22"/>
        </w:rPr>
        <w:t xml:space="preserve"> the DDI core — authoritative IPAM, DNS, DHCP, and PKI issuance for the landing zone. The reference stack is Infoblox; the UIAO modernization adapters for BlueCat &lt;https://github.com/WhalerMike/uiao/tree/main/src/uiao/adapters&gt; and Infoblox cover directory migration into it.</w:t>
      </w:r>
    </w:p>
    <w:p>
      <w:pPr>
        <w:pStyle w:val="ListBullet"/>
      </w:pPr>
      <w:r>
        <w:rPr>
          <w:b/>
          <w:sz w:val="22"/>
        </w:rPr>
        <w:t>Lab:</w:t>
      </w:r>
      <w:r>
        <w:rPr>
          <w:sz w:val="22"/>
        </w:rPr>
        <w:t xml:space="preserve"> stand up (or simulate with fixtures) an IPAM inventory export and bind it as slot-02 addressing evidence — setup: DDI lab environment.</w:t>
      </w:r>
    </w:p>
    <w:p>
      <w:pPr>
        <w:pStyle w:val="ListBullet"/>
      </w:pPr>
      <w:r>
        <w:rPr>
          <w:b/>
          <w:sz w:val="22"/>
        </w:rPr>
        <w:t>Vendor training:</w:t>
      </w:r>
      <w:r>
        <w:rPr>
          <w:sz w:val="22"/>
        </w:rPr>
        <w:t xml:space="preserve"> Infoblox education, BlueCat learning, Microsoft AZ-700 (Azure networking for the landing-zone side) — see catalog §Networking &amp; DDI.</w:t>
      </w:r>
    </w:p>
    <w:p>
      <w:pPr>
        <w:pStyle w:val="Heading2"/>
      </w:pPr>
      <w:r>
        <w:rPr>
          <w:color w:val="0D1B2E"/>
        </w:rPr>
        <w:t>Module B2 — Access &amp; identity foundations (Books 02–04)</w:t>
      </w:r>
    </w:p>
    <w:p>
      <w:pPr>
        <w:pStyle w:val="ListBullet"/>
      </w:pPr>
      <w:r>
        <w:rPr>
          <w:b/>
          <w:sz w:val="22"/>
        </w:rPr>
        <w:t>Read:</w:t>
      </w:r>
      <w:r>
        <w:rPr>
          <w:sz w:val="22"/>
        </w:rPr>
        <w:t xml:space="preserve"> Book 02 (Network Access Control — 802.1X), Book 03 (Certificates, Tokens &amp; Cryptographic Identity), Book 04 (HRIT Identity &amp; Organizational SSOT).</w:t>
      </w:r>
    </w:p>
    <w:p>
      <w:pPr>
        <w:pStyle w:val="ListBullet"/>
      </w:pPr>
      <w:r>
        <w:rPr>
          <w:b/>
          <w:sz w:val="22"/>
        </w:rPr>
        <w:t>Build:</w:t>
      </w:r>
      <w:r>
        <w:rPr>
          <w:sz w:val="22"/>
        </w:rPr>
        <w:t xml:space="preserve"> the admission-and-identity layer everything after B1 assumes — 802.1X EAP-TLS port/wireless authentication against NPS with the five-tier VLAN model, MAB only as a documented exception, and CoA for live re-evaluation (Book 02); the cryptographic credential plane — an offline HSM-backed root with name-constrained issuing CAs, ACME/SCEP issuance sized for 47-day certificate lifetimes, CAA records, and phishing-resistant MFA plus workload identity federation to retire long-lived secrets (Book 03); and the HR-driven SSOT pipeline — Oracle HCM as the authoritative source, effective-dated records, and the SCIM/Graph </w:t>
      </w:r>
      <w:r>
        <w:rPr>
          <w:rFonts w:ascii="Consolas" w:hAnsi="Consolas"/>
          <w:sz w:val="22"/>
        </w:rPr>
        <w:t>bulkUpload</w:t>
      </w:r>
      <w:r>
        <w:rPr>
          <w:sz w:val="22"/>
        </w:rPr>
        <w:t xml:space="preserve"> provisioning flow with the six-step leaver sequence (Book 04).</w:t>
      </w:r>
    </w:p>
    <w:p>
      <w:pPr>
        <w:pStyle w:val="ListBullet"/>
      </w:pPr>
      <w:r>
        <w:rPr>
          <w:b/>
          <w:sz w:val="22"/>
        </w:rPr>
        <w:t>Lab:</w:t>
      </w:r>
      <w:r>
        <w:rPr>
          <w:sz w:val="22"/>
        </w:rPr>
        <w:t xml:space="preserve"> three exercises, one per book: deploy EAP-TLS </w:t>
      </w:r>
      <w:r>
        <w:rPr>
          <w:b/>
          <w:sz w:val="22"/>
        </w:rPr>
        <w:t>in monitor mode first</w:t>
      </w:r>
      <w:r>
        <w:rPr>
          <w:sz w:val="22"/>
        </w:rPr>
        <w:t xml:space="preserve"> with an Intune SCEP profile, review the would-have-failed log, then promote one switch/SSID to enforce; stand up the CAA + ACME DNS-01 issuance chain and rotate a certificate inside the 47-day window; run the six-step leaver sequence in shadow mode and capture the deprovisioning evidence. The Book 03/04 artifacts bind as slot-01 identity evidence; Book 02's port-authentication evidence is held pending the adapter mapping refresh.</w:t>
      </w:r>
    </w:p>
    <w:p>
      <w:pPr>
        <w:pStyle w:val="ListBullet"/>
      </w:pPr>
      <w:r>
        <w:rPr>
          <w:b/>
          <w:sz w:val="22"/>
        </w:rPr>
        <w:t>Vendor training:</w:t>
      </w:r>
      <w:r>
        <w:rPr>
          <w:sz w:val="22"/>
        </w:rPr>
        <w:t xml:space="preserve"> Cisco U / Networking Academy (ISE, NAC), Microsoft SC-300 (Entra identity &amp; lifecycle), AZ-500, SailPoint Identity University (joiner-mover-leaver) — see catalog §Identity &amp; zero trust and §Networking &amp; DDI.</w:t>
      </w:r>
    </w:p>
    <w:p>
      <w:pPr>
        <w:pStyle w:val="Heading2"/>
      </w:pPr>
      <w:r>
        <w:rPr>
          <w:color w:val="0D1B2E"/>
        </w:rPr>
        <w:t>Module B3 — Network &amp; telecommunications modernization (Books 05–06)</w:t>
      </w:r>
    </w:p>
    <w:p>
      <w:pPr>
        <w:pStyle w:val="ListBullet"/>
      </w:pPr>
      <w:r>
        <w:rPr>
          <w:b/>
          <w:sz w:val="22"/>
        </w:rPr>
        <w:t>Read:</w:t>
      </w:r>
      <w:r>
        <w:rPr>
          <w:sz w:val="22"/>
        </w:rPr>
        <w:t xml:space="preserve"> Book 05 (SD-WAN, SASE, unified communications — Teams Phone, Amazon Connect) and Book 06 (Entra ID, ZTNA, active governance).</w:t>
      </w:r>
    </w:p>
    <w:p>
      <w:pPr>
        <w:pStyle w:val="ListBullet"/>
      </w:pPr>
      <w:r>
        <w:rPr>
          <w:b/>
          <w:sz w:val="22"/>
        </w:rPr>
        <w:t>Build:</w:t>
      </w:r>
      <w:r>
        <w:rPr>
          <w:sz w:val="22"/>
        </w:rPr>
        <w:t xml:space="preserve"> application-aware transport — SD-WAN path policy keyed to application identity, SASE enforcement, ZTNA in front of legacy telecom patterns.</w:t>
      </w:r>
    </w:p>
    <w:p>
      <w:pPr>
        <w:pStyle w:val="ListBullet"/>
      </w:pPr>
      <w:r>
        <w:rPr>
          <w:b/>
          <w:sz w:val="22"/>
        </w:rPr>
        <w:t>Lab:</w:t>
      </w:r>
      <w:r>
        <w:rPr>
          <w:sz w:val="22"/>
        </w:rPr>
        <w:t xml:space="preserve"> author one application-aware path policy and one ZTNA access policy; export the policy state and bind it as slot-03 network evidence.</w:t>
      </w:r>
    </w:p>
    <w:p>
      <w:pPr>
        <w:pStyle w:val="ListBullet"/>
      </w:pPr>
      <w:r>
        <w:rPr>
          <w:b/>
          <w:sz w:val="22"/>
        </w:rPr>
        <w:t>Vendor training:</w:t>
      </w:r>
      <w:r>
        <w:rPr>
          <w:sz w:val="22"/>
        </w:rPr>
        <w:t xml:space="preserve"> Cisco U / Networking Academy (SD-WAN), Microsoft SC-300 (Entra), AWS Skill Builder (Amazon Connect), Fortinet / Palo Alto (SASE) — see catalog §Networking &amp; DDI and §Identity &amp; zero trust.</w:t>
      </w:r>
    </w:p>
    <w:p>
      <w:pPr>
        <w:pStyle w:val="Heading2"/>
      </w:pPr>
      <w:r>
        <w:rPr>
          <w:color w:val="0D1B2E"/>
        </w:rPr>
        <w:t>Module B4 — Data platform modernization (Books 07–09)</w:t>
      </w:r>
    </w:p>
    <w:p>
      <w:pPr>
        <w:pStyle w:val="ListBullet"/>
      </w:pPr>
      <w:r>
        <w:rPr>
          <w:b/>
          <w:sz w:val="22"/>
        </w:rPr>
        <w:t>Read:</w:t>
      </w:r>
      <w:r>
        <w:rPr>
          <w:sz w:val="22"/>
        </w:rPr>
        <w:t xml:space="preserve"> Book 07 (SQL Server Authentication Modernization), Book 08 (SQL Server Implementation Guide — the runbook), Book 09 (Database Consolidation &amp; Network Physics).</w:t>
      </w:r>
    </w:p>
    <w:p>
      <w:pPr>
        <w:pStyle w:val="ListBullet"/>
      </w:pPr>
      <w:r>
        <w:rPr>
          <w:b/>
          <w:sz w:val="22"/>
        </w:rPr>
        <w:t>Build:</w:t>
      </w:r>
      <w:r>
        <w:rPr>
          <w:sz w:val="22"/>
        </w:rPr>
        <w:t xml:space="preserve"> Entra-integrated SQL Server authentication (no SQL logins), then the consolidation architecture Book 09 derives from network physics (latency budgets, placement, failure domains).</w:t>
      </w:r>
    </w:p>
    <w:p>
      <w:pPr>
        <w:pStyle w:val="ListBullet"/>
      </w:pPr>
      <w:r>
        <w:rPr>
          <w:b/>
          <w:sz w:val="22"/>
        </w:rPr>
        <w:t>Lab:</w:t>
      </w:r>
      <w:r>
        <w:rPr>
          <w:sz w:val="22"/>
        </w:rPr>
        <w:t xml:space="preserve"> execute the Book 08 runbook against a lab instance; capture the authentication-mode evidence and bind it as slot-01 identity evidence.</w:t>
      </w:r>
    </w:p>
    <w:p>
      <w:pPr>
        <w:pStyle w:val="ListBullet"/>
      </w:pPr>
      <w:r>
        <w:rPr>
          <w:b/>
          <w:sz w:val="22"/>
        </w:rPr>
        <w:t>Vendor training:</w:t>
      </w:r>
      <w:r>
        <w:rPr>
          <w:sz w:val="22"/>
        </w:rPr>
        <w:t xml:space="preserve"> Microsoft DP-300, SQL Server security learning paths — see catalog §Data platform.</w:t>
      </w:r>
    </w:p>
    <w:p>
      <w:pPr>
        <w:pStyle w:val="Heading2"/>
      </w:pPr>
      <w:r>
        <w:rPr>
          <w:color w:val="0D1B2E"/>
        </w:rPr>
        <w:t>Module B5 — Privileged access (Book 10)</w:t>
      </w:r>
    </w:p>
    <w:p>
      <w:pPr>
        <w:pStyle w:val="ListBullet"/>
      </w:pPr>
      <w:r>
        <w:rPr>
          <w:b/>
          <w:sz w:val="22"/>
        </w:rPr>
        <w:t>Read:</w:t>
      </w:r>
      <w:r>
        <w:rPr>
          <w:sz w:val="22"/>
        </w:rPr>
        <w:t xml:space="preserve"> Book 10 (Privileged Access Management — Entra PIM + PAW).</w:t>
      </w:r>
    </w:p>
    <w:p>
      <w:pPr>
        <w:pStyle w:val="ListBullet"/>
      </w:pPr>
      <w:r>
        <w:rPr>
          <w:b/>
          <w:sz w:val="22"/>
        </w:rPr>
        <w:t>Build:</w:t>
      </w:r>
      <w:r>
        <w:rPr>
          <w:sz w:val="22"/>
        </w:rPr>
        <w:t xml:space="preserve"> role-activation workflows in PIM (eligibility, activation, approval, review) and the privileged-access-workstation tier model.</w:t>
      </w:r>
    </w:p>
    <w:p>
      <w:pPr>
        <w:pStyle w:val="ListBullet"/>
      </w:pPr>
      <w:r>
        <w:rPr>
          <w:b/>
          <w:sz w:val="22"/>
        </w:rPr>
        <w:t>Lab:</w:t>
      </w:r>
      <w:r>
        <w:rPr>
          <w:sz w:val="22"/>
        </w:rPr>
        <w:t xml:space="preserve"> configure one eligible role with activation approval + access review; export the PIM audit trail and bind it as slot-01/slot-05 evidence — setup: PIM lab environment.</w:t>
      </w:r>
    </w:p>
    <w:p>
      <w:pPr>
        <w:pStyle w:val="ListBullet"/>
      </w:pPr>
      <w:r>
        <w:rPr>
          <w:b/>
          <w:sz w:val="22"/>
        </w:rPr>
        <w:t>Vendor training:</w:t>
      </w:r>
      <w:r>
        <w:rPr>
          <w:sz w:val="22"/>
        </w:rPr>
        <w:t xml:space="preserve"> Microsoft SC-300, AZ-500; SANS privileged-access coursework — see catalog §Identity &amp; zero trust.</w:t>
      </w:r>
    </w:p>
    <w:p>
      <w:pPr>
        <w:pStyle w:val="Heading2"/>
      </w:pPr>
      <w:r>
        <w:rPr>
          <w:color w:val="0D1B2E"/>
        </w:rPr>
        <w:t>Module B6 — Detect &amp; protect (Books 11–13)</w:t>
      </w:r>
    </w:p>
    <w:p>
      <w:pPr>
        <w:pStyle w:val="ListBullet"/>
      </w:pPr>
      <w:r>
        <w:rPr>
          <w:b/>
          <w:sz w:val="22"/>
        </w:rPr>
        <w:t>Read:</w:t>
      </w:r>
      <w:r>
        <w:rPr>
          <w:sz w:val="22"/>
        </w:rPr>
        <w:t xml:space="preserve"> Book 11 (Vulnerability Management — Defender VM + KEV), Book 12 (Data Protection — Purview + Key Vault CMK), Book 13 (SIEM / XDR Detection — Sentinel).</w:t>
      </w:r>
    </w:p>
    <w:p>
      <w:pPr>
        <w:pStyle w:val="ListBullet"/>
      </w:pPr>
      <w:r>
        <w:rPr>
          <w:b/>
          <w:sz w:val="22"/>
        </w:rPr>
        <w:t>Build:</w:t>
      </w:r>
      <w:r>
        <w:rPr>
          <w:sz w:val="22"/>
        </w:rPr>
        <w:t xml:space="preserve"> the telemetry spine — Defender VM assessment with KEV prioritization; Purview sensitivity labeling + customer-managed keys; Sentinel analytics rules, incidents, and automation.</w:t>
      </w:r>
    </w:p>
    <w:p>
      <w:pPr>
        <w:pStyle w:val="ListBullet"/>
      </w:pPr>
      <w:r>
        <w:rPr>
          <w:b/>
          <w:sz w:val="22"/>
        </w:rPr>
        <w:t>Lab:</w:t>
      </w:r>
      <w:r>
        <w:rPr>
          <w:sz w:val="22"/>
        </w:rPr>
        <w:t xml:space="preserve"> one end-to-end detection: seed a vulnerable/exposed condition, watch it surface in Defender VM, alert in Sentinel, and close with an evidence export bound to slot-04 telemetry (and slot-06 for the configuration-drift angle) — setups: Sentinel lab and Purview lab.</w:t>
      </w:r>
    </w:p>
    <w:p>
      <w:pPr>
        <w:pStyle w:val="ListBullet"/>
      </w:pPr>
      <w:r>
        <w:rPr>
          <w:b/>
          <w:sz w:val="22"/>
        </w:rPr>
        <w:t>Vendor training:</w:t>
      </w:r>
      <w:r>
        <w:rPr>
          <w:sz w:val="22"/>
        </w:rPr>
        <w:t xml:space="preserve"> Microsoft SC-200 (Sentinel/Defender), SC-401 (Purview/information security), Splunk &amp; Elastic for portable SIEM fundamentals — see catalog §Security operations.</w:t>
      </w:r>
    </w:p>
    <w:p>
      <w:pPr>
        <w:pStyle w:val="Heading2"/>
      </w:pPr>
      <w:r>
        <w:rPr>
          <w:color w:val="0D1B2E"/>
        </w:rPr>
        <w:t>Module B7 — Resilience &amp; governance (Books 14–17)</w:t>
      </w:r>
    </w:p>
    <w:p>
      <w:pPr>
        <w:pStyle w:val="ListBullet"/>
      </w:pPr>
      <w:r>
        <w:rPr>
          <w:b/>
          <w:sz w:val="22"/>
        </w:rPr>
        <w:t>Read:</w:t>
      </w:r>
      <w:r>
        <w:rPr>
          <w:sz w:val="22"/>
        </w:rPr>
        <w:t xml:space="preserve"> Book 14 (Business Continuity), Book 15 (Supply Chain Risk Management), Book 16 (Program Management &amp; Governance), Book 17 (PII Processing &amp; Transparency).</w:t>
      </w:r>
    </w:p>
    <w:p>
      <w:pPr>
        <w:pStyle w:val="ListBullet"/>
      </w:pPr>
      <w:r>
        <w:rPr>
          <w:b/>
          <w:sz w:val="22"/>
        </w:rPr>
        <w:t>Build:</w:t>
      </w:r>
      <w:r>
        <w:rPr>
          <w:sz w:val="22"/>
        </w:rPr>
        <w:t xml:space="preserve"> the contingency architecture (alternate processing/storage, CP-4 test harness); the SBOM pipeline (Syft/Trivy-class generation, CycloneDX/SPDX VDR, VER submission flow for BOD 26-04); the PM governance charter artifacts; PII processing-transparency records.</w:t>
      </w:r>
    </w:p>
    <w:p>
      <w:pPr>
        <w:pStyle w:val="ListBullet"/>
      </w:pPr>
      <w:r>
        <w:rPr>
          <w:b/>
          <w:sz w:val="22"/>
        </w:rPr>
        <w:t>Lab:</w:t>
      </w:r>
      <w:r>
        <w:rPr>
          <w:sz w:val="22"/>
        </w:rPr>
        <w:t xml:space="preserve"> generate an SBOM for a real service, produce the VDR document, and bind it as slot-06 evidence; run one tabletop contingency test and bind the results as slot-07 continuity evidence.</w:t>
      </w:r>
    </w:p>
    <w:p>
      <w:pPr>
        <w:pStyle w:val="ListBullet"/>
      </w:pPr>
      <w:r>
        <w:rPr>
          <w:b/>
          <w:sz w:val="22"/>
        </w:rPr>
        <w:t>Vendor training:</w:t>
      </w:r>
      <w:r>
        <w:rPr>
          <w:sz w:val="22"/>
        </w:rPr>
        <w:t xml:space="preserve"> CISA Learning (incident/continuity), FedRAMP PMO materials (20x submission), OWASP/Linux Foundation SBOM resources — see catalog §Federal &amp; compliance.</w:t>
      </w:r>
    </w:p>
    <w:p>
      <w:pPr>
        <w:pStyle w:val="Heading2"/>
      </w:pPr>
      <w:r>
        <w:rPr>
          <w:color w:val="0D1B2E"/>
        </w:rPr>
        <w:t>Module B8 — Authorize &amp; operate (Books 18–19)</w:t>
      </w:r>
    </w:p>
    <w:p>
      <w:pPr>
        <w:pStyle w:val="ListBullet"/>
      </w:pPr>
      <w:r>
        <w:rPr>
          <w:b/>
          <w:sz w:val="22"/>
        </w:rPr>
        <w:t>Read:</w:t>
      </w:r>
      <w:r>
        <w:rPr>
          <w:sz w:val="22"/>
        </w:rPr>
        <w:t xml:space="preserve"> Book 18 (Cybersecurity Training &amp; Awareness) and Book 19 (Authorization Package &amp; ConMon).</w:t>
      </w:r>
    </w:p>
    <w:p>
      <w:pPr>
        <w:pStyle w:val="ListBullet"/>
      </w:pPr>
      <w:r>
        <w:rPr>
          <w:b/>
          <w:sz w:val="22"/>
        </w:rPr>
        <w:t>Build:</w:t>
      </w:r>
      <w:r>
        <w:rPr>
          <w:sz w:val="22"/>
        </w:rPr>
        <w:t xml:space="preserve"> the four-dimension training program with its monthly LMS export (Viva Learning Graph API → </w:t>
      </w:r>
      <w:r>
        <w:rPr>
          <w:rFonts w:ascii="Consolas" w:hAnsi="Consolas"/>
          <w:sz w:val="22"/>
        </w:rPr>
        <w:t>training-effectiveness-record</w:t>
      </w:r>
      <w:r>
        <w:rPr>
          <w:sz w:val="22"/>
        </w:rPr>
        <w:t xml:space="preserve"> JSON), then the authorization mechanics: the OSCAL AP/AR/POA&amp;M bundle, the CA-7 ConMon calendar with per-slot evidence freshness rules, and the BOD 26-04 VDR/VER submission flow.</w:t>
      </w:r>
    </w:p>
    <w:p>
      <w:pPr>
        <w:pStyle w:val="ListBullet"/>
      </w:pPr>
      <w:r>
        <w:rPr>
          <w:b/>
          <w:sz w:val="22"/>
        </w:rPr>
        <w:t>Lab:</w:t>
      </w:r>
      <w:r>
        <w:rPr>
          <w:sz w:val="22"/>
        </w:rPr>
        <w:t xml:space="preserve"> produce a </w:t>
      </w:r>
      <w:r>
        <w:rPr>
          <w:rFonts w:ascii="Consolas" w:hAnsi="Consolas"/>
          <w:sz w:val="22"/>
        </w:rPr>
        <w:t>training-effectiveness-record</w:t>
      </w:r>
      <w:r>
        <w:rPr>
          <w:sz w:val="22"/>
        </w:rPr>
        <w:t xml:space="preserve"> JSON that passes the KSI-022 thresholds and bind it as slot-08 evidence; then run </w:t>
      </w:r>
      <w:r>
        <w:rPr>
          <w:rFonts w:ascii="Consolas" w:hAnsi="Consolas"/>
          <w:sz w:val="22"/>
        </w:rPr>
        <w:t>uiao oscal bundle</w:t>
      </w:r>
      <w:r>
        <w:rPr>
          <w:sz w:val="22"/>
        </w:rPr>
        <w:t>-style generation, trace the AP→AR→POA&amp;M UUID links, and simulate a completion-rate drop below 95% to watch the POA&amp;M entry auto-populate.</w:t>
      </w:r>
    </w:p>
    <w:p>
      <w:pPr>
        <w:pStyle w:val="ListBullet"/>
      </w:pPr>
      <w:r>
        <w:rPr>
          <w:b/>
          <w:sz w:val="22"/>
        </w:rPr>
        <w:t>Vendor training:</w:t>
      </w:r>
      <w:r>
        <w:rPr>
          <w:sz w:val="22"/>
        </w:rPr>
        <w:t xml:space="preserve"> CISA Learning and SANS (awareness program design), FedRAMP PMO materials (20x submission), NIST NICE (role mapping) — see catalog §Federal &amp; compliance.</w:t>
      </w:r>
    </w:p>
    <w:p>
      <w:pPr>
        <w:pStyle w:val="Heading2"/>
      </w:pPr>
      <w:r>
        <w:rPr>
          <w:color w:val="0D1B2E"/>
        </w:rPr>
        <w:t>Capstone — one module, evidence-complete</w:t>
      </w:r>
    </w:p>
    <w:p>
      <w:pPr>
        <w:spacing w:before="80" w:after="80"/>
      </w:pPr>
      <w:r>
        <w:rPr>
          <w:sz w:val="22"/>
        </w:rPr>
        <w:t>Pick one module (B1–B8). Implement or lab-simulate it end-to-end, land the evidence where the slot mapping binds it, then regenerate the verdicts:</w:t>
      </w:r>
    </w:p>
    <w:p>
      <w:pPr>
        <w:shd w:val="clear" w:fill="F2F4F7"/>
        <w:spacing w:before="0" w:after="0"/>
        <w:ind w:left="360"/>
      </w:pPr>
      <w:r>
        <w:rPr>
          <w:rFonts w:ascii="Consolas" w:hAnsi="Consolas"/>
          <w:sz w:val="18"/>
        </w:rPr>
        <w:t>uiao ksi evaluate --ir ./output/ir/tenant.ir.json --out ./output/ksi/tenant.ksi.json</w:t>
      </w:r>
    </w:p>
    <w:p>
      <w:pPr>
        <w:shd w:val="clear" w:fill="F2F4F7"/>
        <w:spacing w:before="0" w:after="0"/>
        <w:ind w:left="360"/>
      </w:pPr>
      <w:r>
        <w:rPr>
          <w:rFonts w:ascii="Consolas" w:hAnsi="Consolas"/>
          <w:sz w:val="18"/>
        </w:rPr>
        <w:t>uiao oscal ksi-ar --output exports/oscal/ksi-ar.json</w:t>
      </w:r>
    </w:p>
    <w:p>
      <w:pPr>
        <w:spacing w:before="80" w:after="80"/>
      </w:pPr>
      <w:r>
        <w:rPr>
          <w:sz w:val="22"/>
        </w:rPr>
        <w:t xml:space="preserve">Completion means the Assessment Results show your module's slot verdict fed by </w:t>
      </w:r>
      <w:r>
        <w:rPr>
          <w:b/>
          <w:sz w:val="22"/>
        </w:rPr>
        <w:t>your</w:t>
      </w:r>
      <w:r>
        <w:rPr>
          <w:sz w:val="22"/>
        </w:rPr>
        <w:t xml:space="preserve"> artifact — the same bar as UIAO_125's Operator track ("clean walker/drift run"), applied to the AAN vertical.</w:t>
      </w:r>
    </w:p>
    <w:p>
      <w:pPr>
        <w:pStyle w:val="Heading2"/>
      </w:pPr>
      <w:r>
        <w:rPr>
          <w:color w:val="0D1B2E"/>
        </w:rPr>
        <w:t>Sequencing note</w:t>
      </w:r>
    </w:p>
    <w:p>
      <w:pPr>
        <w:spacing w:before="80" w:after="80"/>
      </w:pPr>
      <w:r>
        <w:rPr>
          <w:sz w:val="22"/>
        </w:rPr>
        <w:t>B1 → B2 → B3 → B4 is a real dependency chain (addressing before admission and identity, identity before transport policy, transport before data placement). B5–B7 can run in parallel once B2's identity layer exists; B8 runs last — it assembles what every other module produced. Track A modules can be interleaved freely; many teams pair each B-module with its A-module (B1↔A2, B2↔A1/A5, B3↔A1/A3, B4↔A1, B5↔A1/A5, B6↔A4/A6, B7↔A6/A7, B8↔A8).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